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55" w:rsidRPr="009A0BDF" w:rsidRDefault="00665C40" w:rsidP="00665C40">
      <w:pPr>
        <w:spacing w:line="360" w:lineRule="auto"/>
        <w:jc w:val="both"/>
        <w:rPr>
          <w:b/>
          <w:bCs/>
          <w:sz w:val="20"/>
          <w:szCs w:val="20"/>
          <w:lang w:val="fr-FR"/>
        </w:rPr>
      </w:pPr>
      <w:bookmarkStart w:id="0" w:name="_GoBack"/>
      <w:bookmarkEnd w:id="0"/>
      <w:r w:rsidRPr="009A0BDF">
        <w:rPr>
          <w:b/>
          <w:bCs/>
          <w:sz w:val="20"/>
          <w:szCs w:val="20"/>
          <w:lang w:val="fr-FR"/>
        </w:rPr>
        <w:t>Communiqué de presse</w:t>
      </w:r>
    </w:p>
    <w:p w:rsidR="00D17055" w:rsidRDefault="003A1F56" w:rsidP="003A1F56">
      <w:pPr>
        <w:pStyle w:val="NoSpacing"/>
        <w:spacing w:line="360" w:lineRule="auto"/>
        <w:rPr>
          <w:b/>
          <w:bCs/>
          <w:sz w:val="27"/>
          <w:szCs w:val="27"/>
          <w:lang w:val="fr-FR"/>
        </w:rPr>
      </w:pPr>
      <w:r>
        <w:rPr>
          <w:b/>
          <w:bCs/>
          <w:sz w:val="27"/>
          <w:szCs w:val="27"/>
          <w:lang w:val="fr-FR"/>
        </w:rPr>
        <w:t>Pleine croissance et vent favorable pour DACHSER</w:t>
      </w:r>
    </w:p>
    <w:p w:rsidR="003A1F56" w:rsidRPr="00AD3A25" w:rsidRDefault="003A1F56" w:rsidP="00AD3A25">
      <w:pPr>
        <w:spacing w:line="240" w:lineRule="auto"/>
        <w:rPr>
          <w:b/>
          <w:sz w:val="20"/>
          <w:szCs w:val="20"/>
          <w:lang w:val="fr-FR"/>
        </w:rPr>
      </w:pPr>
      <w:r w:rsidRPr="00AD3A25">
        <w:rPr>
          <w:rFonts w:cs="Arial"/>
          <w:b/>
          <w:sz w:val="20"/>
          <w:szCs w:val="20"/>
          <w:lang w:val="fr-FR"/>
        </w:rPr>
        <w:t>Le prestataire logistique franchit pour la première fois la barre des 6 milliards d’euros de chiffre d’affaires ; la croissance est portée par les fortes activités d’exportation en Europe et la vigueur du commerce mondial</w:t>
      </w:r>
    </w:p>
    <w:p w:rsidR="00D14460" w:rsidRDefault="009A0BDF" w:rsidP="00AD3A25">
      <w:pPr>
        <w:pStyle w:val="NoSpacing"/>
        <w:rPr>
          <w:b/>
          <w:bCs/>
          <w:sz w:val="20"/>
          <w:szCs w:val="20"/>
          <w:lang w:val="fr-FR"/>
        </w:rPr>
      </w:pPr>
      <w:r w:rsidRPr="00AD3A25">
        <w:rPr>
          <w:b/>
          <w:bCs/>
          <w:sz w:val="20"/>
          <w:szCs w:val="20"/>
          <w:lang w:val="fr-FR"/>
        </w:rPr>
        <w:t>Grevenmacher</w:t>
      </w:r>
      <w:r w:rsidR="00D17055" w:rsidRPr="00AD3A25">
        <w:rPr>
          <w:b/>
          <w:bCs/>
          <w:sz w:val="20"/>
          <w:szCs w:val="20"/>
          <w:lang w:val="fr-FR"/>
        </w:rPr>
        <w:t xml:space="preserve">, </w:t>
      </w:r>
      <w:r w:rsidR="008C6969" w:rsidRPr="00AD3A25">
        <w:rPr>
          <w:b/>
          <w:bCs/>
          <w:sz w:val="20"/>
          <w:szCs w:val="20"/>
          <w:lang w:val="fr-FR"/>
        </w:rPr>
        <w:t xml:space="preserve">le </w:t>
      </w:r>
      <w:r w:rsidR="00AD3A25" w:rsidRPr="00AD3A25">
        <w:rPr>
          <w:b/>
          <w:bCs/>
          <w:sz w:val="20"/>
          <w:szCs w:val="20"/>
          <w:lang w:val="fr-FR"/>
        </w:rPr>
        <w:t>17</w:t>
      </w:r>
      <w:r w:rsidR="00D17055" w:rsidRPr="00AD3A25">
        <w:rPr>
          <w:b/>
          <w:bCs/>
          <w:sz w:val="20"/>
          <w:szCs w:val="20"/>
          <w:lang w:val="fr-FR"/>
        </w:rPr>
        <w:t xml:space="preserve"> </w:t>
      </w:r>
      <w:r w:rsidR="00AD3A25" w:rsidRPr="00AD3A25">
        <w:rPr>
          <w:b/>
          <w:bCs/>
          <w:sz w:val="20"/>
          <w:szCs w:val="20"/>
          <w:lang w:val="fr-FR"/>
        </w:rPr>
        <w:t>avril</w:t>
      </w:r>
      <w:r w:rsidR="008C6969" w:rsidRPr="00AD3A25">
        <w:rPr>
          <w:b/>
          <w:bCs/>
          <w:sz w:val="20"/>
          <w:szCs w:val="20"/>
          <w:lang w:val="fr-FR"/>
        </w:rPr>
        <w:t xml:space="preserve"> 2018.</w:t>
      </w:r>
      <w:r w:rsidR="00AD3A25" w:rsidRPr="00AD3A25">
        <w:rPr>
          <w:rFonts w:cs="Arial"/>
          <w:b/>
          <w:sz w:val="20"/>
          <w:szCs w:val="20"/>
          <w:lang w:val="fr-FR"/>
        </w:rPr>
        <w:t xml:space="preserve"> Au cours de l’exercice écoulé, le chiffre d’affaires du Groupe a pour la première fois dépassé les 6 milliards d’euros. Atteignant 6,12 milliards d’euros, le chiffre d’affaires brut consolidé du logisticien d’envergure mondiale s’est accru de 7,2 %. Les 81,7 millions d’envois (+2,1 %) pour un tonnage total de 39,8 millions de tonnes (+4,3 %) constituent également de nouveaux records historiques. L’an dernier, D</w:t>
      </w:r>
      <w:r w:rsidR="00AD3A25">
        <w:rPr>
          <w:rFonts w:cs="Arial"/>
          <w:b/>
          <w:sz w:val="20"/>
          <w:szCs w:val="20"/>
          <w:lang w:val="fr-FR"/>
        </w:rPr>
        <w:t>ACHSER</w:t>
      </w:r>
      <w:r w:rsidR="00AD3A25" w:rsidRPr="00AD3A25">
        <w:rPr>
          <w:rFonts w:cs="Arial"/>
          <w:b/>
          <w:sz w:val="20"/>
          <w:szCs w:val="20"/>
          <w:lang w:val="fr-FR"/>
        </w:rPr>
        <w:t xml:space="preserve"> a créé 1 648 nouveaux emplois.</w:t>
      </w:r>
      <w:r w:rsidR="008C6969" w:rsidRPr="00AD3A25">
        <w:rPr>
          <w:b/>
          <w:bCs/>
          <w:sz w:val="20"/>
          <w:szCs w:val="20"/>
          <w:lang w:val="fr-FR"/>
        </w:rPr>
        <w:t xml:space="preserve"> </w:t>
      </w:r>
    </w:p>
    <w:p w:rsidR="00AD3A25" w:rsidRDefault="00AD3A25" w:rsidP="00AD3A25">
      <w:pPr>
        <w:pStyle w:val="NoSpacing"/>
        <w:jc w:val="both"/>
        <w:rPr>
          <w:b/>
          <w:bCs/>
          <w:sz w:val="20"/>
          <w:szCs w:val="20"/>
          <w:lang w:val="fr-FR"/>
        </w:rPr>
      </w:pPr>
    </w:p>
    <w:p w:rsidR="00AD3A25" w:rsidRDefault="00AD3A25" w:rsidP="00AD3A25">
      <w:pPr>
        <w:jc w:val="both"/>
        <w:rPr>
          <w:sz w:val="20"/>
          <w:szCs w:val="20"/>
          <w:lang w:val="fr-FR"/>
        </w:rPr>
      </w:pPr>
      <w:r w:rsidRPr="00AD3A25">
        <w:rPr>
          <w:sz w:val="20"/>
          <w:szCs w:val="20"/>
          <w:lang w:val="fr-FR"/>
        </w:rPr>
        <w:t>« Nous avons résolument poursuivi notre stratégie d’exportation gagnante dans les transports terrestres européens et bénéficié d’un élan supplémentaire grâce à l’intensité accrue des échanges mondiaux », résume Bernhard Simon, CEO de la société européenne (SE) D</w:t>
      </w:r>
      <w:r>
        <w:rPr>
          <w:sz w:val="20"/>
          <w:szCs w:val="20"/>
          <w:lang w:val="fr-FR"/>
        </w:rPr>
        <w:t>ACHSER</w:t>
      </w:r>
      <w:r w:rsidRPr="00AD3A25">
        <w:rPr>
          <w:sz w:val="20"/>
          <w:szCs w:val="20"/>
          <w:lang w:val="fr-FR"/>
        </w:rPr>
        <w:t xml:space="preserve">. « Les tarifs à la hausse du fret aérien et maritime ont plus particulièrement contribué à cette hausse substantielle du chiffre d’affaires. » </w:t>
      </w:r>
    </w:p>
    <w:p w:rsidR="00AD3A25" w:rsidRPr="006476E7" w:rsidRDefault="00AD3A25" w:rsidP="00AD3A25">
      <w:pPr>
        <w:spacing w:line="360" w:lineRule="auto"/>
        <w:rPr>
          <w:rFonts w:cs="Arial"/>
          <w:b/>
          <w:sz w:val="20"/>
          <w:szCs w:val="20"/>
          <w:lang w:val="fr-FR"/>
        </w:rPr>
      </w:pPr>
      <w:r w:rsidRPr="006476E7">
        <w:rPr>
          <w:rFonts w:cs="Arial"/>
          <w:b/>
          <w:sz w:val="20"/>
          <w:szCs w:val="20"/>
          <w:lang w:val="fr-FR"/>
        </w:rPr>
        <w:t>Développement par activités</w:t>
      </w:r>
    </w:p>
    <w:p w:rsidR="00AD3A25" w:rsidRDefault="00AD3A25" w:rsidP="00AD3A25">
      <w:pPr>
        <w:pStyle w:val="NoSpacing"/>
        <w:jc w:val="both"/>
        <w:rPr>
          <w:sz w:val="20"/>
          <w:szCs w:val="20"/>
          <w:lang w:val="fr-FR"/>
        </w:rPr>
      </w:pPr>
      <w:r w:rsidRPr="00AD3A25">
        <w:rPr>
          <w:sz w:val="20"/>
          <w:szCs w:val="20"/>
          <w:lang w:val="fr-FR"/>
        </w:rPr>
        <w:t>Le Business Field</w:t>
      </w:r>
      <w:r w:rsidRPr="00AD3A25">
        <w:rPr>
          <w:b/>
          <w:sz w:val="20"/>
          <w:szCs w:val="20"/>
          <w:lang w:val="fr-FR"/>
        </w:rPr>
        <w:t xml:space="preserve"> Road Logistics</w:t>
      </w:r>
      <w:r w:rsidRPr="00AD3A25">
        <w:rPr>
          <w:sz w:val="20"/>
          <w:szCs w:val="20"/>
          <w:lang w:val="fr-FR"/>
        </w:rPr>
        <w:t>, qui regroupe chez D</w:t>
      </w:r>
      <w:r>
        <w:rPr>
          <w:sz w:val="20"/>
          <w:szCs w:val="20"/>
          <w:lang w:val="fr-FR"/>
        </w:rPr>
        <w:t>ACHSER</w:t>
      </w:r>
      <w:r w:rsidRPr="00AD3A25">
        <w:rPr>
          <w:sz w:val="20"/>
          <w:szCs w:val="20"/>
          <w:lang w:val="fr-FR"/>
        </w:rPr>
        <w:t xml:space="preserve"> le transport et l’entreposage de produits industriels (European Logistics) et de denrées alimentaires (Food Logistics), a réalisé en 2017 un chiffre d’affaires brut de 4,44 milliards d’euros (+3,1 %). Les envois et le tonnage ont respectivement augmenté de 2,1 et 3,6 %. Au sein de la Business Line </w:t>
      </w:r>
      <w:r w:rsidRPr="00AD3A25">
        <w:rPr>
          <w:b/>
          <w:sz w:val="20"/>
          <w:szCs w:val="20"/>
          <w:lang w:val="fr-FR"/>
        </w:rPr>
        <w:t>European Logistics (EL)</w:t>
      </w:r>
      <w:r w:rsidRPr="00AD3A25">
        <w:rPr>
          <w:sz w:val="20"/>
          <w:szCs w:val="20"/>
          <w:lang w:val="fr-FR"/>
        </w:rPr>
        <w:t>,</w:t>
      </w:r>
      <w:r w:rsidRPr="00AD3A25">
        <w:rPr>
          <w:b/>
          <w:sz w:val="20"/>
          <w:szCs w:val="20"/>
          <w:lang w:val="fr-FR"/>
        </w:rPr>
        <w:t xml:space="preserve"> </w:t>
      </w:r>
      <w:r w:rsidRPr="00AD3A25">
        <w:rPr>
          <w:sz w:val="20"/>
          <w:szCs w:val="20"/>
          <w:lang w:val="fr-FR"/>
        </w:rPr>
        <w:t>le choix de privilégier les activités d’exportations européennes dans notre propre réseau s’est une nouvelle fois traduit par de fortes progressions. Cela vaut en particulier pour la Business Unit « EL North Central Europe », qui a connu jusqu’à 7,4 % de hausse de son activité, mais aussi pour les unités « EL France &amp; Maghreb » et « EL Iberia », grâce à la croissance dynamique de leur logistique contractuelle. « Parallèlement à l’Allemagne, notre épine dorsale traditionnelle, la France s’affirme de plus en plus comme le second moteur de notre activité de transport terrestre transfrontalier. Nous avons ces dernières années résolument travaillé à l’instauration de cet axe logistique stratégique », explique Bernhard Simon.</w:t>
      </w:r>
    </w:p>
    <w:p w:rsidR="00AD3A25" w:rsidRPr="00AD3A25" w:rsidRDefault="00AD3A25" w:rsidP="00AD3A25">
      <w:pPr>
        <w:pStyle w:val="NoSpacing"/>
        <w:jc w:val="both"/>
        <w:rPr>
          <w:sz w:val="20"/>
          <w:szCs w:val="20"/>
          <w:lang w:val="fr-FR"/>
        </w:rPr>
      </w:pPr>
    </w:p>
    <w:p w:rsidR="00AD3A25" w:rsidRDefault="00AD3A25" w:rsidP="00AD3A25">
      <w:pPr>
        <w:pStyle w:val="NoSpacing"/>
        <w:jc w:val="both"/>
        <w:rPr>
          <w:sz w:val="20"/>
          <w:szCs w:val="20"/>
          <w:lang w:val="fr-FR"/>
        </w:rPr>
      </w:pPr>
      <w:r w:rsidRPr="00AD3A25">
        <w:rPr>
          <w:sz w:val="20"/>
          <w:szCs w:val="20"/>
          <w:lang w:val="fr-FR"/>
        </w:rPr>
        <w:t xml:space="preserve">Dans la Business Line </w:t>
      </w:r>
      <w:r w:rsidRPr="00AD3A25">
        <w:rPr>
          <w:b/>
          <w:sz w:val="20"/>
          <w:szCs w:val="20"/>
          <w:lang w:val="fr-FR"/>
        </w:rPr>
        <w:t>Food Logistics</w:t>
      </w:r>
      <w:r w:rsidRPr="00AD3A25">
        <w:rPr>
          <w:sz w:val="20"/>
          <w:szCs w:val="20"/>
          <w:lang w:val="fr-FR"/>
        </w:rPr>
        <w:t>, la très nette croissance résulte une fois encore principalement de la forte activité en Allemagne, sans oublier l’acquisition de quelques nouveaux clients pour les transports transfrontaliers. « Cinq ans après la mise en place du partenariat European Food Network, les résultats sont là : le choix de créer un réseau solide de partenaires animé sous notre maîtrise d’œuvre s’est avéré une bonne décision », poursuit Bernhard Simon.</w:t>
      </w:r>
    </w:p>
    <w:p w:rsidR="00AD3A25" w:rsidRPr="00AD3A25" w:rsidRDefault="00AD3A25" w:rsidP="00AD3A25">
      <w:pPr>
        <w:pStyle w:val="NoSpacing"/>
        <w:jc w:val="both"/>
        <w:rPr>
          <w:sz w:val="20"/>
          <w:szCs w:val="20"/>
          <w:lang w:val="fr-FR"/>
        </w:rPr>
      </w:pPr>
    </w:p>
    <w:p w:rsidR="00AD3A25" w:rsidRPr="00AD3A25" w:rsidRDefault="00AD3A25" w:rsidP="00AD3A25">
      <w:pPr>
        <w:pStyle w:val="NoSpacing"/>
        <w:jc w:val="both"/>
        <w:rPr>
          <w:sz w:val="20"/>
          <w:szCs w:val="20"/>
          <w:lang w:val="fr-FR"/>
        </w:rPr>
      </w:pPr>
      <w:r w:rsidRPr="00AD3A25">
        <w:rPr>
          <w:sz w:val="20"/>
          <w:szCs w:val="20"/>
          <w:lang w:val="fr-FR"/>
        </w:rPr>
        <w:t>Dans le Business Field</w:t>
      </w:r>
      <w:r w:rsidRPr="00AD3A25">
        <w:rPr>
          <w:b/>
          <w:sz w:val="20"/>
          <w:szCs w:val="20"/>
          <w:lang w:val="fr-FR"/>
        </w:rPr>
        <w:t xml:space="preserve"> Air &amp; Sea Logistics (ASL)</w:t>
      </w:r>
      <w:r w:rsidRPr="00AD3A25">
        <w:rPr>
          <w:sz w:val="20"/>
          <w:szCs w:val="20"/>
          <w:lang w:val="fr-FR"/>
        </w:rPr>
        <w:t>, l’activité fortement stimulée et les tarifs de fret en hausse – en particulier dans le fret aérien – ont contribué à faire grimper le chiffre d’affaires brut à 1,79 milliard d’euros, soit une augmentation de 15,7 %. Les trois Business Units régionales ASL ont connu une augmentation du chiffre d’affaires à deux chiffres, la plus forte progression du CA, avec plus de 20 %, étant enregistré par les opérations en Asie. Le nombre d’envois du Business Field a augmenté de 6,7 %, tandis que l’EVP et le tonnage ont progressé respectivement de 8,5 et 23,3 %.</w:t>
      </w:r>
    </w:p>
    <w:p w:rsidR="00AD3A25" w:rsidRPr="00AD3A25" w:rsidRDefault="00AD3A25" w:rsidP="00AD3A25">
      <w:pPr>
        <w:pStyle w:val="NoSpacing"/>
        <w:jc w:val="both"/>
        <w:rPr>
          <w:sz w:val="20"/>
          <w:szCs w:val="20"/>
          <w:lang w:val="fr-FR"/>
        </w:rPr>
      </w:pPr>
      <w:r w:rsidRPr="00AD3A25">
        <w:rPr>
          <w:sz w:val="20"/>
          <w:szCs w:val="20"/>
          <w:lang w:val="fr-FR"/>
        </w:rPr>
        <w:t xml:space="preserve">« Le fret aérien et maritime est instable, et continue d’osciller entre les extrêmes en termes de chiffre d’affaires » conclut Bernhard Simon. « Nous visons cependant une croissance durable. C’est pourquoi nous imbriquons toujours plus étroitement nos deux Business Fields et poursuivons résolument l’intégration des systèmes concernés. » </w:t>
      </w:r>
    </w:p>
    <w:p w:rsidR="00AD3A25" w:rsidRDefault="00AD3A25" w:rsidP="00AD3A25">
      <w:pPr>
        <w:jc w:val="both"/>
        <w:rPr>
          <w:sz w:val="20"/>
          <w:szCs w:val="20"/>
          <w:lang w:val="fr-FR"/>
        </w:rPr>
      </w:pPr>
    </w:p>
    <w:p w:rsidR="00AD3A25" w:rsidRPr="006476E7" w:rsidRDefault="00AD3A25" w:rsidP="00AD3A25">
      <w:pPr>
        <w:spacing w:line="360" w:lineRule="auto"/>
        <w:rPr>
          <w:rFonts w:cs="Arial"/>
          <w:b/>
          <w:sz w:val="20"/>
          <w:szCs w:val="20"/>
          <w:lang w:val="fr-FR"/>
        </w:rPr>
      </w:pPr>
      <w:r w:rsidRPr="006476E7">
        <w:rPr>
          <w:rFonts w:cs="Arial"/>
          <w:b/>
          <w:sz w:val="20"/>
          <w:szCs w:val="20"/>
          <w:lang w:val="fr-FR"/>
        </w:rPr>
        <w:t>Investissement proactif dans le réseau et le personnel</w:t>
      </w:r>
    </w:p>
    <w:p w:rsidR="00AD3A25" w:rsidRPr="00AD3A25" w:rsidRDefault="00AD3A25" w:rsidP="00C4328E">
      <w:pPr>
        <w:pStyle w:val="NoSpacing"/>
        <w:jc w:val="both"/>
        <w:rPr>
          <w:sz w:val="20"/>
          <w:szCs w:val="20"/>
          <w:lang w:val="fr-FR"/>
        </w:rPr>
      </w:pPr>
      <w:r w:rsidRPr="00AD3A25">
        <w:rPr>
          <w:sz w:val="20"/>
          <w:szCs w:val="20"/>
          <w:lang w:val="fr-FR"/>
        </w:rPr>
        <w:lastRenderedPageBreak/>
        <w:t>Malgré un vent toujours aussi favorable au premier trimestre 2018, Bernhard Simon estime que les problèmes de capacité et le manque grandissant de conducteurs représentent les principaux facteurs susceptibles de limiter la croissance à l’avenir. « Notre engagement en faveur de la formation doit donc être considéré comme une priorité absolue. » En 2017, 22 premiers conducteurs professionnels ont obtenu leur diplôme au sein de la société de formation D</w:t>
      </w:r>
      <w:r w:rsidR="002D26A7">
        <w:rPr>
          <w:sz w:val="20"/>
          <w:szCs w:val="20"/>
          <w:lang w:val="fr-FR"/>
        </w:rPr>
        <w:t>ACHSER</w:t>
      </w:r>
      <w:r w:rsidRPr="00AD3A25">
        <w:rPr>
          <w:sz w:val="20"/>
          <w:szCs w:val="20"/>
          <w:lang w:val="fr-FR"/>
        </w:rPr>
        <w:t xml:space="preserve"> Service und Ausbildungs GmbH. L’année dernière, 106 au total étaient entrés en service sur 35 sites en Allemagne. « Nous voulons augmenter chaque année le nombre de routiers formés par nos soins et étendre notre concept qualité aux autres pays d’Europe », annonce le CEO de D</w:t>
      </w:r>
      <w:r w:rsidR="002D26A7">
        <w:rPr>
          <w:sz w:val="20"/>
          <w:szCs w:val="20"/>
          <w:lang w:val="fr-FR"/>
        </w:rPr>
        <w:t>ACHSER</w:t>
      </w:r>
      <w:r w:rsidRPr="00AD3A25">
        <w:rPr>
          <w:sz w:val="20"/>
          <w:szCs w:val="20"/>
          <w:lang w:val="fr-FR"/>
        </w:rPr>
        <w:t>.</w:t>
      </w:r>
    </w:p>
    <w:p w:rsidR="00AD3A25" w:rsidRPr="00932F80" w:rsidRDefault="00AD3A25" w:rsidP="00C4328E">
      <w:pPr>
        <w:pStyle w:val="NoSpacing"/>
        <w:jc w:val="both"/>
        <w:rPr>
          <w:lang w:val="fr-FR"/>
        </w:rPr>
      </w:pPr>
    </w:p>
    <w:p w:rsidR="00AD3A25" w:rsidRDefault="00AD3A25" w:rsidP="00C4328E">
      <w:pPr>
        <w:pStyle w:val="NoSpacing"/>
        <w:jc w:val="both"/>
        <w:rPr>
          <w:sz w:val="20"/>
          <w:szCs w:val="20"/>
          <w:lang w:val="fr-FR"/>
        </w:rPr>
      </w:pPr>
      <w:r w:rsidRPr="00AD3A25">
        <w:rPr>
          <w:sz w:val="20"/>
          <w:szCs w:val="20"/>
          <w:lang w:val="fr-FR"/>
        </w:rPr>
        <w:t>En 2017, D</w:t>
      </w:r>
      <w:r w:rsidR="002D26A7">
        <w:rPr>
          <w:sz w:val="20"/>
          <w:szCs w:val="20"/>
          <w:lang w:val="fr-FR"/>
        </w:rPr>
        <w:t>ACHSER</w:t>
      </w:r>
      <w:r w:rsidRPr="00AD3A25">
        <w:rPr>
          <w:sz w:val="20"/>
          <w:szCs w:val="20"/>
          <w:lang w:val="fr-FR"/>
        </w:rPr>
        <w:t xml:space="preserve"> a augmenté de 5 % ses investissements dans les sites du réseau, le parc de véhicules, les équipements techniques et les systèmes informatiques, les portant à 136 millions d’euros. « L’an dernier, nous avons nettement étendu nos capacités, en particulier pour les activités liées au marché des denrées alimentaires », conclut Bernhard Simon. Pour 2018, D</w:t>
      </w:r>
      <w:r w:rsidR="002D26A7">
        <w:rPr>
          <w:sz w:val="20"/>
          <w:szCs w:val="20"/>
          <w:lang w:val="fr-FR"/>
        </w:rPr>
        <w:t>ACHSER</w:t>
      </w:r>
      <w:r w:rsidRPr="00AD3A25">
        <w:rPr>
          <w:sz w:val="20"/>
          <w:szCs w:val="20"/>
          <w:lang w:val="fr-FR"/>
        </w:rPr>
        <w:t xml:space="preserve"> prévoit d’investir 188 millions d’euros, axés cette fois sur le secteur des produits industriels. </w:t>
      </w:r>
    </w:p>
    <w:p w:rsidR="00AD3A25" w:rsidRDefault="00AD3A25" w:rsidP="00AD3A25">
      <w:pPr>
        <w:pStyle w:val="NoSpacing"/>
        <w:rPr>
          <w:sz w:val="20"/>
          <w:szCs w:val="20"/>
          <w:lang w:val="fr-FR"/>
        </w:rPr>
      </w:pPr>
    </w:p>
    <w:p w:rsidR="00AD3A25" w:rsidRPr="006476E7" w:rsidRDefault="00AD3A25" w:rsidP="00AD3A25">
      <w:pPr>
        <w:spacing w:line="360" w:lineRule="auto"/>
        <w:rPr>
          <w:rFonts w:cs="Arial"/>
          <w:b/>
          <w:sz w:val="20"/>
          <w:szCs w:val="20"/>
          <w:lang w:val="fr-FR"/>
        </w:rPr>
      </w:pPr>
      <w:r w:rsidRPr="006476E7">
        <w:rPr>
          <w:rFonts w:cs="Arial"/>
          <w:b/>
          <w:sz w:val="20"/>
          <w:szCs w:val="20"/>
          <w:lang w:val="fr-FR"/>
        </w:rPr>
        <w:t>Récapitulatif des chiffres d’affaires bruts :</w:t>
      </w:r>
    </w:p>
    <w:tbl>
      <w:tblPr>
        <w:tblStyle w:val="TableGrid"/>
        <w:tblW w:w="8647" w:type="dxa"/>
        <w:tblInd w:w="108" w:type="dxa"/>
        <w:tblLayout w:type="fixed"/>
        <w:tblLook w:val="04A0" w:firstRow="1" w:lastRow="0" w:firstColumn="1" w:lastColumn="0" w:noHBand="0" w:noVBand="1"/>
      </w:tblPr>
      <w:tblGrid>
        <w:gridCol w:w="2835"/>
        <w:gridCol w:w="1843"/>
        <w:gridCol w:w="1701"/>
        <w:gridCol w:w="2268"/>
      </w:tblGrid>
      <w:tr w:rsidR="00AD3A25" w:rsidRPr="00932F80" w:rsidTr="00FE3A2F">
        <w:trPr>
          <w:trHeight w:val="495"/>
        </w:trPr>
        <w:tc>
          <w:tcPr>
            <w:tcW w:w="2835" w:type="dxa"/>
            <w:shd w:val="clear" w:color="auto" w:fill="A6A6A6" w:themeFill="background1" w:themeFillShade="A6"/>
            <w:vAlign w:val="bottom"/>
          </w:tcPr>
          <w:p w:rsidR="00AD3A25" w:rsidRPr="00932F80" w:rsidRDefault="00AD3A25" w:rsidP="00FE3A2F">
            <w:pPr>
              <w:spacing w:line="360" w:lineRule="auto"/>
              <w:rPr>
                <w:rFonts w:cs="Arial"/>
                <w:b/>
                <w:sz w:val="16"/>
                <w:szCs w:val="14"/>
                <w:lang w:val="fr-FR"/>
              </w:rPr>
            </w:pPr>
            <w:r w:rsidRPr="00932F80">
              <w:rPr>
                <w:rFonts w:cs="Arial"/>
                <w:b/>
                <w:sz w:val="6"/>
                <w:szCs w:val="14"/>
                <w:lang w:val="fr-FR"/>
              </w:rPr>
              <w:br/>
            </w:r>
            <w:r>
              <w:rPr>
                <w:rFonts w:cs="Arial"/>
                <w:b/>
                <w:sz w:val="16"/>
                <w:szCs w:val="14"/>
                <w:lang w:val="fr-FR"/>
              </w:rPr>
              <w:t>Chiffres d’affaires en millions d’euros</w:t>
            </w:r>
          </w:p>
        </w:tc>
        <w:tc>
          <w:tcPr>
            <w:tcW w:w="1843" w:type="dxa"/>
            <w:shd w:val="clear" w:color="auto" w:fill="A6A6A6" w:themeFill="background1" w:themeFillShade="A6"/>
            <w:vAlign w:val="center"/>
          </w:tcPr>
          <w:p w:rsidR="00AD3A25" w:rsidRPr="00932F80" w:rsidRDefault="00AD3A25" w:rsidP="00FE3A2F">
            <w:pPr>
              <w:rPr>
                <w:rFonts w:cs="Arial"/>
                <w:b/>
                <w:sz w:val="16"/>
                <w:szCs w:val="14"/>
                <w:lang w:val="fr-FR"/>
              </w:rPr>
            </w:pPr>
            <w:r w:rsidRPr="00932F80">
              <w:rPr>
                <w:rFonts w:cs="Arial"/>
                <w:b/>
                <w:sz w:val="16"/>
                <w:szCs w:val="14"/>
                <w:lang w:val="fr-FR"/>
              </w:rPr>
              <w:t>2017</w:t>
            </w:r>
          </w:p>
          <w:p w:rsidR="00AD3A25" w:rsidRPr="00932F80" w:rsidRDefault="00AD3A25" w:rsidP="00FE3A2F">
            <w:pPr>
              <w:rPr>
                <w:rFonts w:cs="Arial"/>
                <w:b/>
                <w:sz w:val="16"/>
                <w:szCs w:val="14"/>
                <w:lang w:val="fr-FR"/>
              </w:rPr>
            </w:pPr>
            <w:r>
              <w:rPr>
                <w:rFonts w:cs="Arial"/>
                <w:b/>
                <w:sz w:val="16"/>
                <w:szCs w:val="14"/>
                <w:lang w:val="fr-FR"/>
              </w:rPr>
              <w:t>Frais de douane et taxes à l’importation inclus</w:t>
            </w:r>
          </w:p>
        </w:tc>
        <w:tc>
          <w:tcPr>
            <w:tcW w:w="1701" w:type="dxa"/>
            <w:shd w:val="clear" w:color="auto" w:fill="A6A6A6" w:themeFill="background1" w:themeFillShade="A6"/>
            <w:vAlign w:val="center"/>
          </w:tcPr>
          <w:p w:rsidR="00AD3A25" w:rsidRPr="00932F80" w:rsidRDefault="00AD3A25" w:rsidP="00FE3A2F">
            <w:pPr>
              <w:rPr>
                <w:rFonts w:cs="Arial"/>
                <w:b/>
                <w:sz w:val="16"/>
                <w:szCs w:val="14"/>
                <w:lang w:val="fr-FR"/>
              </w:rPr>
            </w:pPr>
            <w:r w:rsidRPr="00932F80">
              <w:rPr>
                <w:rFonts w:cs="Arial"/>
                <w:b/>
                <w:sz w:val="16"/>
                <w:szCs w:val="14"/>
                <w:lang w:val="fr-FR"/>
              </w:rPr>
              <w:t>2016</w:t>
            </w:r>
          </w:p>
          <w:p w:rsidR="00AD3A25" w:rsidRPr="00932F80" w:rsidRDefault="00AD3A25" w:rsidP="00FE3A2F">
            <w:pPr>
              <w:rPr>
                <w:rFonts w:cs="Arial"/>
                <w:b/>
                <w:sz w:val="16"/>
                <w:szCs w:val="14"/>
                <w:vertAlign w:val="superscript"/>
                <w:lang w:val="fr-FR"/>
              </w:rPr>
            </w:pPr>
            <w:r>
              <w:rPr>
                <w:rFonts w:cs="Arial"/>
                <w:b/>
                <w:sz w:val="16"/>
                <w:szCs w:val="14"/>
                <w:lang w:val="fr-FR"/>
              </w:rPr>
              <w:t>Frais de douane et taxes à l’importation inclus</w:t>
            </w:r>
          </w:p>
        </w:tc>
        <w:tc>
          <w:tcPr>
            <w:tcW w:w="2268" w:type="dxa"/>
            <w:shd w:val="clear" w:color="auto" w:fill="A6A6A6" w:themeFill="background1" w:themeFillShade="A6"/>
            <w:vAlign w:val="center"/>
          </w:tcPr>
          <w:p w:rsidR="00AD3A25" w:rsidRPr="00932F80" w:rsidRDefault="00AD3A25" w:rsidP="00FE3A2F">
            <w:pPr>
              <w:rPr>
                <w:rFonts w:cs="Arial"/>
                <w:b/>
                <w:sz w:val="16"/>
                <w:szCs w:val="14"/>
                <w:lang w:val="fr-FR"/>
              </w:rPr>
            </w:pPr>
            <w:r>
              <w:rPr>
                <w:rFonts w:cs="Arial"/>
                <w:b/>
                <w:sz w:val="16"/>
                <w:szCs w:val="14"/>
                <w:lang w:val="fr-FR"/>
              </w:rPr>
              <w:t xml:space="preserve">Évolution </w:t>
            </w:r>
          </w:p>
        </w:tc>
      </w:tr>
      <w:tr w:rsidR="00AD3A25" w:rsidRPr="00932F80" w:rsidTr="00FE3A2F">
        <w:trPr>
          <w:trHeight w:val="400"/>
        </w:trPr>
        <w:tc>
          <w:tcPr>
            <w:tcW w:w="2835" w:type="dxa"/>
            <w:vAlign w:val="center"/>
          </w:tcPr>
          <w:p w:rsidR="00AD3A25" w:rsidRPr="00932F80" w:rsidRDefault="00AD3A25" w:rsidP="00FE3A2F">
            <w:pPr>
              <w:spacing w:line="360" w:lineRule="auto"/>
              <w:rPr>
                <w:rFonts w:cs="Arial"/>
                <w:b/>
                <w:sz w:val="16"/>
                <w:szCs w:val="16"/>
                <w:lang w:val="fr-FR"/>
              </w:rPr>
            </w:pPr>
            <w:r w:rsidRPr="00932F80">
              <w:rPr>
                <w:rFonts w:cs="Arial"/>
                <w:b/>
                <w:sz w:val="16"/>
                <w:szCs w:val="16"/>
                <w:lang w:val="fr-FR"/>
              </w:rPr>
              <w:t>Road Logistics</w:t>
            </w:r>
          </w:p>
        </w:tc>
        <w:tc>
          <w:tcPr>
            <w:tcW w:w="1843" w:type="dxa"/>
            <w:vAlign w:val="center"/>
          </w:tcPr>
          <w:p w:rsidR="00AD3A25" w:rsidRPr="003B438D" w:rsidRDefault="00AD3A25" w:rsidP="00FE3A2F">
            <w:pPr>
              <w:spacing w:line="360" w:lineRule="auto"/>
              <w:rPr>
                <w:rFonts w:cs="Arial"/>
                <w:b/>
                <w:sz w:val="16"/>
                <w:szCs w:val="18"/>
                <w:lang w:val="fr-FR"/>
              </w:rPr>
            </w:pPr>
            <w:r w:rsidRPr="00B621DF">
              <w:rPr>
                <w:rFonts w:cs="Arial"/>
                <w:b/>
                <w:sz w:val="16"/>
                <w:szCs w:val="18"/>
                <w:lang w:val="en-US"/>
              </w:rPr>
              <w:t>4</w:t>
            </w:r>
            <w:r>
              <w:rPr>
                <w:rFonts w:cs="Arial"/>
                <w:b/>
                <w:sz w:val="16"/>
                <w:szCs w:val="18"/>
                <w:lang w:val="en-US"/>
              </w:rPr>
              <w:t> </w:t>
            </w:r>
            <w:r w:rsidRPr="00B621DF">
              <w:rPr>
                <w:rFonts w:cs="Arial"/>
                <w:b/>
                <w:sz w:val="16"/>
                <w:szCs w:val="18"/>
                <w:lang w:val="en-US"/>
              </w:rPr>
              <w:t>441</w:t>
            </w:r>
          </w:p>
        </w:tc>
        <w:tc>
          <w:tcPr>
            <w:tcW w:w="1701" w:type="dxa"/>
            <w:vAlign w:val="center"/>
          </w:tcPr>
          <w:p w:rsidR="00AD3A25" w:rsidRPr="003B438D" w:rsidRDefault="00AD3A25" w:rsidP="00FE3A2F">
            <w:pPr>
              <w:spacing w:line="360" w:lineRule="auto"/>
              <w:rPr>
                <w:rFonts w:cs="Arial"/>
                <w:b/>
                <w:sz w:val="16"/>
                <w:szCs w:val="18"/>
                <w:lang w:val="fr-FR"/>
              </w:rPr>
            </w:pPr>
            <w:r w:rsidRPr="00B621DF">
              <w:rPr>
                <w:rFonts w:cs="Arial"/>
                <w:b/>
                <w:sz w:val="16"/>
                <w:szCs w:val="18"/>
                <w:lang w:val="en-US"/>
              </w:rPr>
              <w:t>4</w:t>
            </w:r>
            <w:r>
              <w:rPr>
                <w:rFonts w:cs="Arial"/>
                <w:b/>
                <w:sz w:val="16"/>
                <w:szCs w:val="18"/>
                <w:lang w:val="en-US"/>
              </w:rPr>
              <w:t> </w:t>
            </w:r>
            <w:r w:rsidRPr="00B621DF">
              <w:rPr>
                <w:rFonts w:cs="Arial"/>
                <w:b/>
                <w:sz w:val="16"/>
                <w:szCs w:val="18"/>
                <w:lang w:val="en-US"/>
              </w:rPr>
              <w:t>307</w:t>
            </w:r>
          </w:p>
        </w:tc>
        <w:tc>
          <w:tcPr>
            <w:tcW w:w="2268" w:type="dxa"/>
            <w:vAlign w:val="center"/>
          </w:tcPr>
          <w:p w:rsidR="00AD3A25" w:rsidRPr="003B438D" w:rsidRDefault="00AD3A25" w:rsidP="00FE3A2F">
            <w:pPr>
              <w:spacing w:line="360" w:lineRule="auto"/>
              <w:rPr>
                <w:rFonts w:cs="Arial"/>
                <w:b/>
                <w:sz w:val="16"/>
                <w:szCs w:val="18"/>
                <w:lang w:val="fr-FR"/>
              </w:rPr>
            </w:pPr>
            <w:r w:rsidRPr="00B621DF">
              <w:rPr>
                <w:rFonts w:cs="Arial"/>
                <w:b/>
                <w:sz w:val="16"/>
                <w:szCs w:val="18"/>
                <w:lang w:val="en-US"/>
              </w:rPr>
              <w:t>+ 3,1</w:t>
            </w:r>
            <w:r>
              <w:rPr>
                <w:rFonts w:cs="Arial"/>
                <w:b/>
                <w:sz w:val="16"/>
                <w:szCs w:val="18"/>
                <w:lang w:val="en-US"/>
              </w:rPr>
              <w:t xml:space="preserve"> %</w:t>
            </w:r>
          </w:p>
        </w:tc>
      </w:tr>
      <w:tr w:rsidR="00AD3A25" w:rsidRPr="00932F80" w:rsidTr="00FE3A2F">
        <w:trPr>
          <w:trHeight w:val="382"/>
        </w:trPr>
        <w:tc>
          <w:tcPr>
            <w:tcW w:w="2835" w:type="dxa"/>
            <w:vAlign w:val="center"/>
          </w:tcPr>
          <w:p w:rsidR="00AD3A25" w:rsidRPr="00932F80" w:rsidRDefault="00AD3A25" w:rsidP="00FE3A2F">
            <w:pPr>
              <w:spacing w:line="360" w:lineRule="auto"/>
              <w:rPr>
                <w:rFonts w:cs="Arial"/>
                <w:sz w:val="16"/>
                <w:szCs w:val="16"/>
                <w:lang w:val="fr-FR"/>
              </w:rPr>
            </w:pPr>
            <w:r w:rsidRPr="00932F80">
              <w:rPr>
                <w:rFonts w:cs="Arial"/>
                <w:sz w:val="16"/>
                <w:szCs w:val="16"/>
                <w:lang w:val="fr-FR"/>
              </w:rPr>
              <w:t>European Logistics</w:t>
            </w:r>
          </w:p>
        </w:tc>
        <w:tc>
          <w:tcPr>
            <w:tcW w:w="1843" w:type="dxa"/>
            <w:vAlign w:val="center"/>
          </w:tcPr>
          <w:p w:rsidR="00AD3A25" w:rsidRPr="003B438D" w:rsidRDefault="00AD3A25" w:rsidP="00FE3A2F">
            <w:pPr>
              <w:spacing w:line="360" w:lineRule="auto"/>
              <w:rPr>
                <w:rFonts w:cs="Arial"/>
                <w:sz w:val="16"/>
                <w:szCs w:val="18"/>
                <w:lang w:val="fr-FR"/>
              </w:rPr>
            </w:pPr>
            <w:r w:rsidRPr="00B621DF">
              <w:rPr>
                <w:rFonts w:cs="Arial"/>
                <w:sz w:val="16"/>
                <w:szCs w:val="18"/>
                <w:lang w:val="en-US"/>
              </w:rPr>
              <w:t>3</w:t>
            </w:r>
            <w:r>
              <w:rPr>
                <w:rFonts w:cs="Arial"/>
                <w:sz w:val="16"/>
                <w:szCs w:val="18"/>
                <w:lang w:val="en-US"/>
              </w:rPr>
              <w:t> </w:t>
            </w:r>
            <w:r w:rsidRPr="00B621DF">
              <w:rPr>
                <w:rFonts w:cs="Arial"/>
                <w:sz w:val="16"/>
                <w:szCs w:val="18"/>
                <w:lang w:val="en-US"/>
              </w:rPr>
              <w:t>570</w:t>
            </w:r>
          </w:p>
        </w:tc>
        <w:tc>
          <w:tcPr>
            <w:tcW w:w="1701" w:type="dxa"/>
            <w:vAlign w:val="center"/>
          </w:tcPr>
          <w:p w:rsidR="00AD3A25" w:rsidRPr="003B438D" w:rsidRDefault="00AD3A25" w:rsidP="00FE3A2F">
            <w:pPr>
              <w:spacing w:line="360" w:lineRule="auto"/>
              <w:rPr>
                <w:rFonts w:cs="Arial"/>
                <w:sz w:val="16"/>
                <w:szCs w:val="18"/>
                <w:lang w:val="fr-FR"/>
              </w:rPr>
            </w:pPr>
            <w:r w:rsidRPr="00B621DF">
              <w:rPr>
                <w:rFonts w:cs="Arial"/>
                <w:sz w:val="16"/>
                <w:szCs w:val="18"/>
                <w:lang w:val="en-US"/>
              </w:rPr>
              <w:t>3</w:t>
            </w:r>
            <w:r>
              <w:rPr>
                <w:rFonts w:cs="Arial"/>
                <w:sz w:val="16"/>
                <w:szCs w:val="18"/>
                <w:lang w:val="en-US"/>
              </w:rPr>
              <w:t> </w:t>
            </w:r>
            <w:r w:rsidRPr="00B621DF">
              <w:rPr>
                <w:rFonts w:cs="Arial"/>
                <w:sz w:val="16"/>
                <w:szCs w:val="18"/>
                <w:lang w:val="en-US"/>
              </w:rPr>
              <w:t>495</w:t>
            </w:r>
          </w:p>
        </w:tc>
        <w:tc>
          <w:tcPr>
            <w:tcW w:w="2268" w:type="dxa"/>
            <w:vAlign w:val="center"/>
          </w:tcPr>
          <w:p w:rsidR="00AD3A25" w:rsidRPr="003B438D" w:rsidRDefault="00AD3A25" w:rsidP="00FE3A2F">
            <w:pPr>
              <w:spacing w:line="360" w:lineRule="auto"/>
              <w:rPr>
                <w:rFonts w:cs="Arial"/>
                <w:sz w:val="16"/>
                <w:szCs w:val="18"/>
                <w:lang w:val="fr-FR"/>
              </w:rPr>
            </w:pPr>
            <w:r w:rsidRPr="00B621DF">
              <w:rPr>
                <w:rFonts w:cs="Arial"/>
                <w:sz w:val="16"/>
                <w:szCs w:val="18"/>
                <w:lang w:val="en-US"/>
              </w:rPr>
              <w:t>+ 2,1</w:t>
            </w:r>
            <w:r>
              <w:rPr>
                <w:rFonts w:cs="Arial"/>
                <w:sz w:val="16"/>
                <w:szCs w:val="18"/>
                <w:lang w:val="en-US"/>
              </w:rPr>
              <w:t xml:space="preserve"> %</w:t>
            </w:r>
          </w:p>
        </w:tc>
      </w:tr>
      <w:tr w:rsidR="00AD3A25" w:rsidRPr="00932F80" w:rsidTr="00FE3A2F">
        <w:trPr>
          <w:trHeight w:val="400"/>
        </w:trPr>
        <w:tc>
          <w:tcPr>
            <w:tcW w:w="2835" w:type="dxa"/>
            <w:vAlign w:val="center"/>
          </w:tcPr>
          <w:p w:rsidR="00AD3A25" w:rsidRPr="00932F80" w:rsidRDefault="00AD3A25" w:rsidP="00FE3A2F">
            <w:pPr>
              <w:spacing w:line="360" w:lineRule="auto"/>
              <w:rPr>
                <w:rFonts w:cs="Arial"/>
                <w:sz w:val="16"/>
                <w:szCs w:val="16"/>
                <w:lang w:val="fr-FR"/>
              </w:rPr>
            </w:pPr>
            <w:r w:rsidRPr="00932F80">
              <w:rPr>
                <w:rFonts w:cs="Arial"/>
                <w:sz w:val="16"/>
                <w:szCs w:val="16"/>
                <w:lang w:val="fr-FR"/>
              </w:rPr>
              <w:t>Food Logistics</w:t>
            </w:r>
          </w:p>
        </w:tc>
        <w:tc>
          <w:tcPr>
            <w:tcW w:w="1843" w:type="dxa"/>
            <w:vAlign w:val="center"/>
          </w:tcPr>
          <w:p w:rsidR="00AD3A25" w:rsidRPr="003B438D" w:rsidRDefault="00AD3A25" w:rsidP="00FE3A2F">
            <w:pPr>
              <w:spacing w:line="360" w:lineRule="auto"/>
              <w:rPr>
                <w:rFonts w:cs="Arial"/>
                <w:sz w:val="16"/>
                <w:szCs w:val="18"/>
                <w:lang w:val="fr-FR"/>
              </w:rPr>
            </w:pPr>
            <w:r w:rsidRPr="00B621DF">
              <w:rPr>
                <w:rFonts w:cs="Arial"/>
                <w:sz w:val="16"/>
                <w:szCs w:val="18"/>
                <w:lang w:val="en-US"/>
              </w:rPr>
              <w:t>871</w:t>
            </w:r>
          </w:p>
        </w:tc>
        <w:tc>
          <w:tcPr>
            <w:tcW w:w="1701" w:type="dxa"/>
            <w:vAlign w:val="center"/>
          </w:tcPr>
          <w:p w:rsidR="00AD3A25" w:rsidRPr="003B438D" w:rsidRDefault="00AD3A25" w:rsidP="00FE3A2F">
            <w:pPr>
              <w:spacing w:line="360" w:lineRule="auto"/>
              <w:rPr>
                <w:rFonts w:cs="Arial"/>
                <w:sz w:val="16"/>
                <w:szCs w:val="18"/>
                <w:lang w:val="fr-FR"/>
              </w:rPr>
            </w:pPr>
            <w:r w:rsidRPr="00B621DF">
              <w:rPr>
                <w:rFonts w:cs="Arial"/>
                <w:sz w:val="16"/>
                <w:szCs w:val="18"/>
                <w:lang w:val="en-US"/>
              </w:rPr>
              <w:t>812</w:t>
            </w:r>
          </w:p>
        </w:tc>
        <w:tc>
          <w:tcPr>
            <w:tcW w:w="2268" w:type="dxa"/>
            <w:vAlign w:val="center"/>
          </w:tcPr>
          <w:p w:rsidR="00AD3A25" w:rsidRPr="003B438D" w:rsidRDefault="00AD3A25" w:rsidP="00FE3A2F">
            <w:pPr>
              <w:spacing w:line="360" w:lineRule="auto"/>
              <w:rPr>
                <w:rFonts w:cs="Arial"/>
                <w:sz w:val="16"/>
                <w:szCs w:val="18"/>
                <w:lang w:val="fr-FR"/>
              </w:rPr>
            </w:pPr>
            <w:r w:rsidRPr="00B621DF">
              <w:rPr>
                <w:rFonts w:cs="Arial"/>
                <w:sz w:val="16"/>
                <w:szCs w:val="18"/>
                <w:lang w:val="en-US"/>
              </w:rPr>
              <w:t>+ 7,3</w:t>
            </w:r>
            <w:r>
              <w:rPr>
                <w:rFonts w:cs="Arial"/>
                <w:sz w:val="16"/>
                <w:szCs w:val="18"/>
                <w:lang w:val="en-US"/>
              </w:rPr>
              <w:t xml:space="preserve"> %</w:t>
            </w:r>
          </w:p>
        </w:tc>
      </w:tr>
      <w:tr w:rsidR="00AD3A25" w:rsidRPr="00932F80" w:rsidTr="00FE3A2F">
        <w:trPr>
          <w:trHeight w:val="382"/>
        </w:trPr>
        <w:tc>
          <w:tcPr>
            <w:tcW w:w="2835" w:type="dxa"/>
            <w:vAlign w:val="center"/>
          </w:tcPr>
          <w:p w:rsidR="00AD3A25" w:rsidRPr="00932F80" w:rsidRDefault="00AD3A25" w:rsidP="00FE3A2F">
            <w:pPr>
              <w:spacing w:line="360" w:lineRule="auto"/>
              <w:rPr>
                <w:rFonts w:cs="Arial"/>
                <w:b/>
                <w:sz w:val="16"/>
                <w:szCs w:val="16"/>
                <w:lang w:val="fr-FR"/>
              </w:rPr>
            </w:pPr>
            <w:r w:rsidRPr="00932F80">
              <w:rPr>
                <w:rFonts w:cs="Arial"/>
                <w:b/>
                <w:sz w:val="16"/>
                <w:szCs w:val="16"/>
                <w:lang w:val="fr-FR"/>
              </w:rPr>
              <w:t>Air &amp; Sea Logistics</w:t>
            </w:r>
          </w:p>
        </w:tc>
        <w:tc>
          <w:tcPr>
            <w:tcW w:w="1843" w:type="dxa"/>
            <w:vAlign w:val="center"/>
          </w:tcPr>
          <w:p w:rsidR="00AD3A25" w:rsidRPr="003B438D" w:rsidRDefault="00AD3A25" w:rsidP="00FE3A2F">
            <w:pPr>
              <w:spacing w:line="360" w:lineRule="auto"/>
              <w:rPr>
                <w:rFonts w:cs="Arial"/>
                <w:b/>
                <w:sz w:val="16"/>
                <w:szCs w:val="18"/>
                <w:lang w:val="fr-FR"/>
              </w:rPr>
            </w:pPr>
            <w:r>
              <w:rPr>
                <w:rFonts w:cs="Arial"/>
                <w:b/>
                <w:sz w:val="16"/>
                <w:szCs w:val="18"/>
              </w:rPr>
              <w:t>1 785</w:t>
            </w:r>
          </w:p>
        </w:tc>
        <w:tc>
          <w:tcPr>
            <w:tcW w:w="1701" w:type="dxa"/>
            <w:vAlign w:val="center"/>
          </w:tcPr>
          <w:p w:rsidR="00AD3A25" w:rsidRPr="003B438D" w:rsidRDefault="00AD3A25" w:rsidP="00FE3A2F">
            <w:pPr>
              <w:spacing w:line="360" w:lineRule="auto"/>
              <w:rPr>
                <w:rFonts w:cs="Arial"/>
                <w:b/>
                <w:sz w:val="16"/>
                <w:szCs w:val="18"/>
                <w:lang w:val="fr-FR"/>
              </w:rPr>
            </w:pPr>
            <w:r>
              <w:rPr>
                <w:rFonts w:cs="Arial"/>
                <w:b/>
                <w:sz w:val="16"/>
                <w:szCs w:val="18"/>
              </w:rPr>
              <w:t>1 </w:t>
            </w:r>
            <w:r w:rsidRPr="00022D60">
              <w:rPr>
                <w:rFonts w:cs="Arial"/>
                <w:b/>
                <w:sz w:val="16"/>
                <w:szCs w:val="18"/>
              </w:rPr>
              <w:t>542</w:t>
            </w:r>
          </w:p>
        </w:tc>
        <w:tc>
          <w:tcPr>
            <w:tcW w:w="2268" w:type="dxa"/>
            <w:vAlign w:val="center"/>
          </w:tcPr>
          <w:p w:rsidR="00AD3A25" w:rsidRPr="003B438D" w:rsidRDefault="00AD3A25" w:rsidP="00FE3A2F">
            <w:pPr>
              <w:spacing w:line="360" w:lineRule="auto"/>
              <w:rPr>
                <w:rFonts w:cs="Arial"/>
                <w:b/>
                <w:sz w:val="16"/>
                <w:szCs w:val="18"/>
                <w:lang w:val="fr-FR"/>
              </w:rPr>
            </w:pPr>
            <w:r>
              <w:rPr>
                <w:rFonts w:cs="Arial"/>
                <w:b/>
                <w:sz w:val="16"/>
                <w:szCs w:val="18"/>
              </w:rPr>
              <w:t>+ 15,7 %</w:t>
            </w:r>
          </w:p>
        </w:tc>
      </w:tr>
      <w:tr w:rsidR="00AD3A25" w:rsidRPr="00932F80" w:rsidTr="00FE3A2F">
        <w:trPr>
          <w:trHeight w:val="1048"/>
        </w:trPr>
        <w:tc>
          <w:tcPr>
            <w:tcW w:w="2835" w:type="dxa"/>
            <w:vAlign w:val="center"/>
          </w:tcPr>
          <w:p w:rsidR="00AD3A25" w:rsidRPr="00932F80" w:rsidRDefault="00AD3A25" w:rsidP="00FE3A2F">
            <w:pPr>
              <w:rPr>
                <w:rFonts w:cs="Arial"/>
                <w:sz w:val="16"/>
                <w:szCs w:val="16"/>
                <w:lang w:val="fr-FR"/>
              </w:rPr>
            </w:pPr>
            <w:r>
              <w:rPr>
                <w:rFonts w:cs="Arial"/>
                <w:b/>
                <w:sz w:val="16"/>
                <w:szCs w:val="16"/>
                <w:lang w:val="fr-FR"/>
              </w:rPr>
              <w:t xml:space="preserve">Consolidation </w:t>
            </w:r>
            <w:r w:rsidRPr="00932F80">
              <w:rPr>
                <w:rFonts w:cs="Arial"/>
                <w:sz w:val="16"/>
                <w:szCs w:val="16"/>
                <w:lang w:val="fr-FR"/>
              </w:rPr>
              <w:br/>
            </w:r>
            <w:r w:rsidRPr="00932F80">
              <w:rPr>
                <w:rFonts w:cs="Arial"/>
                <w:sz w:val="14"/>
                <w:szCs w:val="16"/>
                <w:lang w:val="fr-FR"/>
              </w:rPr>
              <w:t>(</w:t>
            </w:r>
            <w:r>
              <w:rPr>
                <w:rFonts w:cs="Arial"/>
                <w:sz w:val="14"/>
                <w:szCs w:val="16"/>
                <w:lang w:val="fr-FR"/>
              </w:rPr>
              <w:t>hors chiffres d’affaires des participations d’a</w:t>
            </w:r>
            <w:r w:rsidRPr="00F01AAF">
              <w:rPr>
                <w:rFonts w:cs="Arial"/>
                <w:sz w:val="14"/>
                <w:szCs w:val="16"/>
                <w:lang w:val="fr-FR"/>
              </w:rPr>
              <w:t>u plus 50 % du</w:t>
            </w:r>
            <w:r>
              <w:rPr>
                <w:rFonts w:cs="Arial"/>
                <w:sz w:val="14"/>
                <w:szCs w:val="16"/>
                <w:lang w:val="fr-FR"/>
              </w:rPr>
              <w:t xml:space="preserve"> capital</w:t>
            </w:r>
            <w:r w:rsidRPr="00932F80">
              <w:rPr>
                <w:rFonts w:cs="Arial"/>
                <w:sz w:val="14"/>
                <w:szCs w:val="16"/>
                <w:lang w:val="fr-FR"/>
              </w:rPr>
              <w:t>)</w:t>
            </w:r>
          </w:p>
        </w:tc>
        <w:tc>
          <w:tcPr>
            <w:tcW w:w="1843" w:type="dxa"/>
            <w:vAlign w:val="center"/>
          </w:tcPr>
          <w:p w:rsidR="00AD3A25" w:rsidRPr="003B438D" w:rsidRDefault="00AD3A25" w:rsidP="00FE3A2F">
            <w:pPr>
              <w:spacing w:line="360" w:lineRule="auto"/>
              <w:rPr>
                <w:rFonts w:cs="Arial"/>
                <w:sz w:val="16"/>
                <w:szCs w:val="18"/>
                <w:lang w:val="fr-FR"/>
              </w:rPr>
            </w:pPr>
            <w:r>
              <w:rPr>
                <w:rFonts w:cs="Arial"/>
                <w:sz w:val="16"/>
                <w:szCs w:val="18"/>
              </w:rPr>
              <w:t>- 108</w:t>
            </w:r>
          </w:p>
        </w:tc>
        <w:tc>
          <w:tcPr>
            <w:tcW w:w="1701" w:type="dxa"/>
            <w:vAlign w:val="center"/>
          </w:tcPr>
          <w:p w:rsidR="00AD3A25" w:rsidRPr="003B438D" w:rsidRDefault="00AD3A25" w:rsidP="00FE3A2F">
            <w:pPr>
              <w:spacing w:line="360" w:lineRule="auto"/>
              <w:rPr>
                <w:rFonts w:cs="Arial"/>
                <w:sz w:val="16"/>
                <w:szCs w:val="18"/>
                <w:lang w:val="fr-FR"/>
              </w:rPr>
            </w:pPr>
            <w:r>
              <w:rPr>
                <w:rFonts w:cs="Arial"/>
                <w:sz w:val="16"/>
                <w:szCs w:val="18"/>
              </w:rPr>
              <w:t>- 143</w:t>
            </w:r>
          </w:p>
        </w:tc>
        <w:tc>
          <w:tcPr>
            <w:tcW w:w="2268" w:type="dxa"/>
            <w:vAlign w:val="center"/>
          </w:tcPr>
          <w:p w:rsidR="00AD3A25" w:rsidRPr="003B438D" w:rsidRDefault="00AD3A25" w:rsidP="00FE3A2F">
            <w:pPr>
              <w:spacing w:line="360" w:lineRule="auto"/>
              <w:rPr>
                <w:rFonts w:cs="Arial"/>
                <w:sz w:val="16"/>
                <w:szCs w:val="18"/>
                <w:lang w:val="fr-FR"/>
              </w:rPr>
            </w:pPr>
          </w:p>
        </w:tc>
      </w:tr>
      <w:tr w:rsidR="00AD3A25" w:rsidRPr="00932F80" w:rsidTr="00FE3A2F">
        <w:trPr>
          <w:trHeight w:val="382"/>
        </w:trPr>
        <w:tc>
          <w:tcPr>
            <w:tcW w:w="2835" w:type="dxa"/>
            <w:vAlign w:val="center"/>
          </w:tcPr>
          <w:p w:rsidR="00AD3A25" w:rsidRPr="00932F80" w:rsidRDefault="00AD3A25" w:rsidP="00FE3A2F">
            <w:pPr>
              <w:spacing w:line="360" w:lineRule="auto"/>
              <w:rPr>
                <w:rFonts w:cs="Arial"/>
                <w:b/>
                <w:sz w:val="16"/>
                <w:szCs w:val="16"/>
                <w:lang w:val="fr-FR"/>
              </w:rPr>
            </w:pPr>
            <w:r>
              <w:rPr>
                <w:rFonts w:cs="Arial"/>
                <w:b/>
                <w:sz w:val="16"/>
                <w:szCs w:val="16"/>
                <w:lang w:val="fr-FR"/>
              </w:rPr>
              <w:t>Groupe</w:t>
            </w:r>
          </w:p>
        </w:tc>
        <w:tc>
          <w:tcPr>
            <w:tcW w:w="1843" w:type="dxa"/>
            <w:vAlign w:val="center"/>
          </w:tcPr>
          <w:p w:rsidR="00AD3A25" w:rsidRPr="003B438D" w:rsidRDefault="00AD3A25" w:rsidP="00FE3A2F">
            <w:pPr>
              <w:spacing w:line="360" w:lineRule="auto"/>
              <w:rPr>
                <w:rFonts w:cs="Arial"/>
                <w:b/>
                <w:sz w:val="16"/>
                <w:szCs w:val="18"/>
                <w:lang w:val="fr-FR"/>
              </w:rPr>
            </w:pPr>
            <w:r>
              <w:rPr>
                <w:rFonts w:cs="Arial"/>
                <w:b/>
                <w:sz w:val="16"/>
                <w:szCs w:val="18"/>
              </w:rPr>
              <w:t>6 118</w:t>
            </w:r>
          </w:p>
        </w:tc>
        <w:tc>
          <w:tcPr>
            <w:tcW w:w="1701" w:type="dxa"/>
            <w:vAlign w:val="center"/>
          </w:tcPr>
          <w:p w:rsidR="00AD3A25" w:rsidRPr="003B438D" w:rsidRDefault="00AD3A25" w:rsidP="00FE3A2F">
            <w:pPr>
              <w:spacing w:line="360" w:lineRule="auto"/>
              <w:rPr>
                <w:rFonts w:cs="Arial"/>
                <w:b/>
                <w:sz w:val="16"/>
                <w:szCs w:val="18"/>
                <w:lang w:val="fr-FR"/>
              </w:rPr>
            </w:pPr>
            <w:r>
              <w:rPr>
                <w:rFonts w:cs="Arial"/>
                <w:b/>
                <w:sz w:val="16"/>
                <w:szCs w:val="18"/>
              </w:rPr>
              <w:t>5 </w:t>
            </w:r>
            <w:r w:rsidRPr="00022D60">
              <w:rPr>
                <w:rFonts w:cs="Arial"/>
                <w:b/>
                <w:sz w:val="16"/>
                <w:szCs w:val="18"/>
              </w:rPr>
              <w:t>706</w:t>
            </w:r>
          </w:p>
        </w:tc>
        <w:tc>
          <w:tcPr>
            <w:tcW w:w="2268" w:type="dxa"/>
            <w:vAlign w:val="center"/>
          </w:tcPr>
          <w:p w:rsidR="00AD3A25" w:rsidRPr="003B438D" w:rsidRDefault="00AD3A25" w:rsidP="00FE3A2F">
            <w:pPr>
              <w:spacing w:line="360" w:lineRule="auto"/>
              <w:rPr>
                <w:rFonts w:cs="Arial"/>
                <w:b/>
                <w:sz w:val="16"/>
                <w:szCs w:val="18"/>
                <w:lang w:val="fr-FR"/>
              </w:rPr>
            </w:pPr>
            <w:r w:rsidRPr="00022D60">
              <w:rPr>
                <w:rFonts w:cs="Arial"/>
                <w:b/>
                <w:sz w:val="16"/>
                <w:szCs w:val="18"/>
              </w:rPr>
              <w:t>+</w:t>
            </w:r>
            <w:r>
              <w:rPr>
                <w:rFonts w:cs="Arial"/>
                <w:b/>
                <w:sz w:val="16"/>
                <w:szCs w:val="18"/>
              </w:rPr>
              <w:t xml:space="preserve"> 7,2 %</w:t>
            </w:r>
          </w:p>
        </w:tc>
      </w:tr>
    </w:tbl>
    <w:p w:rsidR="00AD3A25" w:rsidRPr="00AD3A25" w:rsidRDefault="00AD3A25" w:rsidP="00AD3A25">
      <w:pPr>
        <w:pStyle w:val="NoSpacing"/>
        <w:rPr>
          <w:sz w:val="20"/>
          <w:szCs w:val="20"/>
          <w:lang w:val="fr-FR"/>
        </w:rPr>
      </w:pPr>
    </w:p>
    <w:p w:rsidR="006476E7" w:rsidRDefault="006476E7" w:rsidP="006476E7">
      <w:pPr>
        <w:jc w:val="both"/>
        <w:rPr>
          <w:rFonts w:asciiTheme="minorBidi" w:hAnsiTheme="minorBidi"/>
          <w:b/>
          <w:bCs/>
          <w:sz w:val="20"/>
          <w:szCs w:val="20"/>
          <w:lang w:val="fr-FR"/>
        </w:rPr>
      </w:pPr>
    </w:p>
    <w:p w:rsidR="006476E7" w:rsidRDefault="006476E7" w:rsidP="006476E7">
      <w:pPr>
        <w:jc w:val="both"/>
        <w:rPr>
          <w:rFonts w:asciiTheme="minorBidi" w:hAnsiTheme="minorBidi"/>
          <w:b/>
          <w:bCs/>
          <w:sz w:val="20"/>
          <w:szCs w:val="20"/>
          <w:lang w:val="fr-FR"/>
        </w:rPr>
      </w:pPr>
      <w:r w:rsidRPr="00D45C92">
        <w:rPr>
          <w:rFonts w:asciiTheme="minorBidi" w:hAnsiTheme="minorBidi"/>
          <w:b/>
          <w:bCs/>
          <w:sz w:val="20"/>
          <w:szCs w:val="20"/>
          <w:lang w:val="fr-FR"/>
        </w:rPr>
        <w:t xml:space="preserve">Développements au Luxembourg </w:t>
      </w:r>
    </w:p>
    <w:p w:rsidR="006476E7" w:rsidRDefault="006476E7" w:rsidP="00C4328E">
      <w:pPr>
        <w:jc w:val="both"/>
        <w:rPr>
          <w:rFonts w:asciiTheme="minorBidi" w:hAnsiTheme="minorBidi"/>
          <w:sz w:val="20"/>
          <w:szCs w:val="20"/>
          <w:lang w:val="fr-FR"/>
        </w:rPr>
      </w:pPr>
      <w:r w:rsidRPr="00D45C92">
        <w:rPr>
          <w:rFonts w:asciiTheme="minorBidi" w:hAnsiTheme="minorBidi"/>
          <w:sz w:val="20"/>
          <w:szCs w:val="20"/>
          <w:lang w:val="fr-FR"/>
        </w:rPr>
        <w:t>Au Luxembourg D</w:t>
      </w:r>
      <w:r>
        <w:rPr>
          <w:rFonts w:asciiTheme="minorBidi" w:hAnsiTheme="minorBidi"/>
          <w:sz w:val="20"/>
          <w:szCs w:val="20"/>
          <w:lang w:val="fr-FR"/>
        </w:rPr>
        <w:t xml:space="preserve">ACHSER </w:t>
      </w:r>
      <w:r w:rsidRPr="00D45C92">
        <w:rPr>
          <w:rFonts w:asciiTheme="minorBidi" w:hAnsiTheme="minorBidi"/>
          <w:sz w:val="20"/>
          <w:szCs w:val="20"/>
          <w:lang w:val="fr-FR"/>
        </w:rPr>
        <w:t xml:space="preserve">a également réalisé des chiffres positifs. Le chiffre d’affaires a augmenté de </w:t>
      </w:r>
      <w:r>
        <w:rPr>
          <w:rFonts w:asciiTheme="minorBidi" w:hAnsiTheme="minorBidi"/>
          <w:sz w:val="20"/>
          <w:szCs w:val="20"/>
          <w:lang w:val="fr-FR"/>
        </w:rPr>
        <w:t>19</w:t>
      </w:r>
      <w:r w:rsidRPr="00D45C92">
        <w:rPr>
          <w:rFonts w:asciiTheme="minorBidi" w:hAnsiTheme="minorBidi"/>
          <w:sz w:val="20"/>
          <w:szCs w:val="20"/>
          <w:lang w:val="fr-FR"/>
        </w:rPr>
        <w:t>,</w:t>
      </w:r>
      <w:r>
        <w:rPr>
          <w:rFonts w:asciiTheme="minorBidi" w:hAnsiTheme="minorBidi"/>
          <w:sz w:val="20"/>
          <w:szCs w:val="20"/>
          <w:lang w:val="fr-FR"/>
        </w:rPr>
        <w:t>5</w:t>
      </w:r>
      <w:r w:rsidRPr="00D45C92">
        <w:rPr>
          <w:rFonts w:asciiTheme="minorBidi" w:hAnsiTheme="minorBidi"/>
          <w:sz w:val="20"/>
          <w:szCs w:val="20"/>
          <w:lang w:val="fr-FR"/>
        </w:rPr>
        <w:t xml:space="preserve"> pourcent</w:t>
      </w:r>
      <w:r>
        <w:rPr>
          <w:rFonts w:asciiTheme="minorBidi" w:hAnsiTheme="minorBidi"/>
          <w:sz w:val="20"/>
          <w:szCs w:val="20"/>
          <w:lang w:val="fr-FR"/>
        </w:rPr>
        <w:t xml:space="preserve"> </w:t>
      </w:r>
      <w:r w:rsidR="001A5031">
        <w:rPr>
          <w:rFonts w:asciiTheme="minorBidi" w:hAnsiTheme="minorBidi"/>
          <w:sz w:val="20"/>
          <w:szCs w:val="20"/>
          <w:lang w:val="fr-FR"/>
        </w:rPr>
        <w:t>à 13,1 millions</w:t>
      </w:r>
      <w:r w:rsidRPr="00D45C92">
        <w:rPr>
          <w:rFonts w:asciiTheme="minorBidi" w:hAnsiTheme="minorBidi"/>
          <w:sz w:val="20"/>
          <w:szCs w:val="20"/>
          <w:lang w:val="fr-FR"/>
        </w:rPr>
        <w:t>, le nombre d’envois de 6,</w:t>
      </w:r>
      <w:r w:rsidR="001A5031">
        <w:rPr>
          <w:rFonts w:asciiTheme="minorBidi" w:hAnsiTheme="minorBidi"/>
          <w:sz w:val="20"/>
          <w:szCs w:val="20"/>
          <w:lang w:val="fr-FR"/>
        </w:rPr>
        <w:t>4</w:t>
      </w:r>
      <w:r w:rsidRPr="00D45C92">
        <w:rPr>
          <w:rFonts w:asciiTheme="minorBidi" w:hAnsiTheme="minorBidi"/>
          <w:sz w:val="20"/>
          <w:szCs w:val="20"/>
          <w:lang w:val="fr-FR"/>
        </w:rPr>
        <w:t xml:space="preserve"> pourcent et le tonnage de 1</w:t>
      </w:r>
      <w:r w:rsidR="001A5031">
        <w:rPr>
          <w:rFonts w:asciiTheme="minorBidi" w:hAnsiTheme="minorBidi"/>
          <w:sz w:val="20"/>
          <w:szCs w:val="20"/>
          <w:lang w:val="fr-FR"/>
        </w:rPr>
        <w:t>2</w:t>
      </w:r>
      <w:r w:rsidRPr="00D45C92">
        <w:rPr>
          <w:rFonts w:asciiTheme="minorBidi" w:hAnsiTheme="minorBidi"/>
          <w:sz w:val="20"/>
          <w:szCs w:val="20"/>
          <w:lang w:val="fr-FR"/>
        </w:rPr>
        <w:t>,</w:t>
      </w:r>
      <w:r w:rsidR="001A5031">
        <w:rPr>
          <w:rFonts w:asciiTheme="minorBidi" w:hAnsiTheme="minorBidi"/>
          <w:sz w:val="20"/>
          <w:szCs w:val="20"/>
          <w:lang w:val="fr-FR"/>
        </w:rPr>
        <w:t>8</w:t>
      </w:r>
      <w:r w:rsidRPr="00D45C92">
        <w:rPr>
          <w:rFonts w:asciiTheme="minorBidi" w:hAnsiTheme="minorBidi"/>
          <w:sz w:val="20"/>
          <w:szCs w:val="20"/>
          <w:lang w:val="fr-FR"/>
        </w:rPr>
        <w:t xml:space="preserve"> pourcent. La croissance résulte, d’une part, de capacités plus importantes et, d’autre part, du développement continu du vaste réseau mondial de D</w:t>
      </w:r>
      <w:r w:rsidR="001A5031">
        <w:rPr>
          <w:rFonts w:asciiTheme="minorBidi" w:hAnsiTheme="minorBidi"/>
          <w:sz w:val="20"/>
          <w:szCs w:val="20"/>
          <w:lang w:val="fr-FR"/>
        </w:rPr>
        <w:t xml:space="preserve">ACHSER. </w:t>
      </w:r>
      <w:r w:rsidR="001A5031" w:rsidRPr="00D45C92">
        <w:rPr>
          <w:rFonts w:asciiTheme="minorBidi" w:hAnsiTheme="minorBidi"/>
          <w:sz w:val="20"/>
          <w:szCs w:val="20"/>
          <w:lang w:val="fr-FR"/>
        </w:rPr>
        <w:t>Bien que l`Allemagne soit le marché d’exportation le plus important pour le Luxembourg, D</w:t>
      </w:r>
      <w:r w:rsidR="001A5031">
        <w:rPr>
          <w:rFonts w:asciiTheme="minorBidi" w:hAnsiTheme="minorBidi"/>
          <w:sz w:val="20"/>
          <w:szCs w:val="20"/>
          <w:lang w:val="fr-FR"/>
        </w:rPr>
        <w:t>ACHSER</w:t>
      </w:r>
      <w:r w:rsidR="001A5031" w:rsidRPr="00D45C92">
        <w:rPr>
          <w:rFonts w:asciiTheme="minorBidi" w:hAnsiTheme="minorBidi"/>
          <w:sz w:val="20"/>
          <w:szCs w:val="20"/>
          <w:lang w:val="fr-FR"/>
        </w:rPr>
        <w:t xml:space="preserve"> connait aussi une forte augmentation du trafic vers d’autres pays européens.</w:t>
      </w:r>
      <w:r w:rsidR="001A5031">
        <w:rPr>
          <w:rFonts w:asciiTheme="minorBidi" w:hAnsiTheme="minorBidi"/>
          <w:sz w:val="20"/>
          <w:szCs w:val="20"/>
          <w:lang w:val="fr-FR"/>
        </w:rPr>
        <w:t xml:space="preserve"> </w:t>
      </w:r>
      <w:r w:rsidR="001A5031" w:rsidRPr="00A64053">
        <w:rPr>
          <w:rFonts w:asciiTheme="minorBidi" w:hAnsiTheme="minorBidi"/>
          <w:sz w:val="20"/>
          <w:szCs w:val="20"/>
          <w:lang w:val="fr-FR"/>
        </w:rPr>
        <w:t>« Ces dernières années, nous avons investi dans la formation du personnel, les systèmes informatiques, des nouveaux bâtiments et dans notre vaste réseau de transport. Tous ces développements et investissements ont contribué à cet excellent résultat. »</w:t>
      </w:r>
      <w:r w:rsidR="001A5031">
        <w:rPr>
          <w:rFonts w:asciiTheme="minorBidi" w:hAnsiTheme="minorBidi"/>
          <w:sz w:val="20"/>
          <w:szCs w:val="20"/>
          <w:lang w:val="fr-FR"/>
        </w:rPr>
        <w:t xml:space="preserve"> dit Aat van der Meer, Managing Director de DACHSER Benelux.</w:t>
      </w:r>
    </w:p>
    <w:p w:rsidR="001A5031" w:rsidRDefault="001A5031" w:rsidP="00C4328E">
      <w:pPr>
        <w:jc w:val="both"/>
        <w:rPr>
          <w:rFonts w:asciiTheme="minorBidi" w:hAnsiTheme="minorBidi"/>
          <w:sz w:val="20"/>
          <w:szCs w:val="20"/>
          <w:lang w:val="fr-FR"/>
        </w:rPr>
      </w:pPr>
      <w:r w:rsidRPr="00A64053">
        <w:rPr>
          <w:rFonts w:asciiTheme="minorBidi" w:hAnsiTheme="minorBidi"/>
          <w:sz w:val="20"/>
          <w:szCs w:val="20"/>
          <w:lang w:val="fr-FR"/>
        </w:rPr>
        <w:t>Depuis 2014 les différentes divisions de D</w:t>
      </w:r>
      <w:r w:rsidR="00CB5ED1">
        <w:rPr>
          <w:rFonts w:asciiTheme="minorBidi" w:hAnsiTheme="minorBidi"/>
          <w:sz w:val="20"/>
          <w:szCs w:val="20"/>
          <w:lang w:val="fr-FR"/>
        </w:rPr>
        <w:t>ACHSER</w:t>
      </w:r>
      <w:r w:rsidRPr="00A64053">
        <w:rPr>
          <w:rFonts w:asciiTheme="minorBidi" w:hAnsiTheme="minorBidi"/>
          <w:sz w:val="20"/>
          <w:szCs w:val="20"/>
          <w:lang w:val="fr-FR"/>
        </w:rPr>
        <w:t>, les activités aériennes et maritimes d’une côté et le transport routier de l’autre, ont une coopération intense. « Il y a une demande croissante pour des solutions globales, pour un seul partenaire qui fait tous les processus de logistique tout au long de la chaîne d’approvisionnement. Par la puissante combinaison des différentes divisions, nous pouvons</w:t>
      </w:r>
      <w:r>
        <w:rPr>
          <w:rFonts w:asciiTheme="minorBidi" w:hAnsiTheme="minorBidi"/>
          <w:sz w:val="20"/>
          <w:szCs w:val="20"/>
          <w:lang w:val="fr-FR"/>
        </w:rPr>
        <w:t xml:space="preserve"> </w:t>
      </w:r>
      <w:r w:rsidRPr="00A64053">
        <w:rPr>
          <w:rFonts w:asciiTheme="minorBidi" w:hAnsiTheme="minorBidi"/>
          <w:sz w:val="20"/>
          <w:szCs w:val="20"/>
          <w:lang w:val="fr-FR"/>
        </w:rPr>
        <w:t>fournir des solutions globales à nos clients.</w:t>
      </w:r>
      <w:r>
        <w:rPr>
          <w:rFonts w:asciiTheme="minorBidi" w:hAnsiTheme="minorBidi"/>
          <w:sz w:val="20"/>
          <w:szCs w:val="20"/>
          <w:lang w:val="fr-FR"/>
        </w:rPr>
        <w:t xml:space="preserve"> </w:t>
      </w:r>
      <w:r w:rsidRPr="00A64053">
        <w:rPr>
          <w:rFonts w:asciiTheme="minorBidi" w:hAnsiTheme="minorBidi"/>
          <w:sz w:val="20"/>
          <w:szCs w:val="20"/>
          <w:lang w:val="fr-FR"/>
        </w:rPr>
        <w:t>Le client n’a qu’un seul interlocuteur qui gère le processus logistique complet. Une numérisation approfondie joue un rôle majeur.</w:t>
      </w:r>
    </w:p>
    <w:p w:rsidR="00CB5ED1" w:rsidRDefault="00CB5ED1" w:rsidP="00C4328E">
      <w:pPr>
        <w:jc w:val="both"/>
        <w:rPr>
          <w:rFonts w:asciiTheme="minorBidi" w:hAnsiTheme="minorBidi"/>
          <w:sz w:val="20"/>
          <w:szCs w:val="20"/>
          <w:lang w:val="fr-FR"/>
        </w:rPr>
      </w:pPr>
      <w:r w:rsidRPr="00A64053">
        <w:rPr>
          <w:rFonts w:asciiTheme="minorBidi" w:hAnsiTheme="minorBidi"/>
          <w:sz w:val="20"/>
          <w:szCs w:val="20"/>
          <w:lang w:val="fr-FR"/>
        </w:rPr>
        <w:lastRenderedPageBreak/>
        <w:t>Il y a aussi une grande attention pour les personnes qui sont passionné par la logistique. « En Luxembourg, nous investissons dans des partenariats étroits avec les établissements d’enseignement et nous essayons d’enthousiasmer les jeunes et les demandeurs d’emploi pour le secteur de la logistique. Nous offrons de nombreuses possibilités pour des stages et des projets de thèse », raconte Aat van der</w:t>
      </w:r>
      <w:r>
        <w:rPr>
          <w:rFonts w:asciiTheme="minorBidi" w:hAnsiTheme="minorBidi"/>
          <w:sz w:val="20"/>
          <w:szCs w:val="20"/>
          <w:lang w:val="fr-FR"/>
        </w:rPr>
        <w:t xml:space="preserve"> Meer.</w:t>
      </w:r>
    </w:p>
    <w:p w:rsidR="00D17055" w:rsidRPr="008C6969" w:rsidRDefault="00CB5ED1" w:rsidP="00C4328E">
      <w:pPr>
        <w:jc w:val="both"/>
        <w:rPr>
          <w:sz w:val="20"/>
          <w:szCs w:val="20"/>
          <w:lang w:val="fr-FR"/>
        </w:rPr>
      </w:pPr>
      <w:r w:rsidRPr="003A4E7A">
        <w:rPr>
          <w:rFonts w:cs="Arial"/>
          <w:sz w:val="20"/>
          <w:szCs w:val="20"/>
          <w:lang w:val="fr-FR"/>
        </w:rPr>
        <w:t>La filiale luxembourgeoise occupe une situation centrale entre Luxembourg-Ville et</w:t>
      </w:r>
      <w:r w:rsidRPr="00D45C92">
        <w:rPr>
          <w:rFonts w:cs="Arial"/>
          <w:sz w:val="20"/>
          <w:szCs w:val="20"/>
          <w:lang w:val="fr-FR"/>
        </w:rPr>
        <w:t xml:space="preserve"> Trier et emploie </w:t>
      </w:r>
      <w:r>
        <w:rPr>
          <w:rFonts w:cs="Arial"/>
          <w:sz w:val="20"/>
          <w:szCs w:val="20"/>
          <w:lang w:val="fr-FR"/>
        </w:rPr>
        <w:t>40</w:t>
      </w:r>
      <w:r w:rsidRPr="00D45C92">
        <w:rPr>
          <w:rFonts w:cs="Arial"/>
          <w:sz w:val="20"/>
          <w:szCs w:val="20"/>
          <w:lang w:val="fr-FR"/>
        </w:rPr>
        <w:t xml:space="preserve"> collaborateurs. Le site dispose d’une plateforme de cross-docking de </w:t>
      </w:r>
      <w:r>
        <w:rPr>
          <w:rFonts w:cs="Arial"/>
          <w:sz w:val="20"/>
          <w:szCs w:val="20"/>
          <w:lang w:val="fr-FR"/>
        </w:rPr>
        <w:t>3.0</w:t>
      </w:r>
      <w:r w:rsidRPr="00D45C92">
        <w:rPr>
          <w:rFonts w:cs="Arial"/>
          <w:sz w:val="20"/>
          <w:szCs w:val="20"/>
          <w:lang w:val="fr-FR"/>
        </w:rPr>
        <w:t>00 mètres carrés  et 800 mètres carrés de bureaux.</w:t>
      </w:r>
      <w:r w:rsidR="00C4328E">
        <w:rPr>
          <w:rFonts w:cs="Arial"/>
          <w:sz w:val="20"/>
          <w:szCs w:val="20"/>
          <w:lang w:val="fr-FR"/>
        </w:rPr>
        <w:t xml:space="preserve"> En 2017, il y avait une petite expansion.</w:t>
      </w:r>
    </w:p>
    <w:p w:rsidR="00D17055" w:rsidRPr="00665C40" w:rsidRDefault="00D17055" w:rsidP="00D17055">
      <w:pPr>
        <w:spacing w:line="360" w:lineRule="auto"/>
        <w:jc w:val="both"/>
        <w:rPr>
          <w:sz w:val="20"/>
          <w:szCs w:val="20"/>
          <w:lang w:val="fr-FR"/>
        </w:rPr>
      </w:pPr>
    </w:p>
    <w:p w:rsidR="009A0BDF" w:rsidRDefault="009A0BDF" w:rsidP="009A0BDF">
      <w:pPr>
        <w:jc w:val="both"/>
        <w:rPr>
          <w:rFonts w:cs="Arial"/>
          <w:b/>
          <w:sz w:val="20"/>
          <w:szCs w:val="20"/>
          <w:lang w:val="fr-FR"/>
        </w:rPr>
      </w:pPr>
      <w:r w:rsidRPr="00BD1925">
        <w:rPr>
          <w:rFonts w:cs="Arial"/>
          <w:b/>
          <w:sz w:val="20"/>
          <w:szCs w:val="20"/>
          <w:lang w:val="fr-FR"/>
        </w:rPr>
        <w:t>Au sujet de Dachser:</w:t>
      </w:r>
    </w:p>
    <w:p w:rsidR="009A0BDF" w:rsidRDefault="009A0BDF" w:rsidP="009A0BDF">
      <w:pPr>
        <w:jc w:val="both"/>
        <w:rPr>
          <w:rFonts w:cs="Arial"/>
          <w:b/>
          <w:sz w:val="20"/>
          <w:szCs w:val="20"/>
          <w:lang w:val="fr-FR"/>
        </w:rPr>
      </w:pPr>
    </w:p>
    <w:p w:rsidR="009A0BDF" w:rsidRDefault="009A0BDF" w:rsidP="00C4328E">
      <w:pPr>
        <w:jc w:val="both"/>
        <w:rPr>
          <w:rFonts w:cs="Arial"/>
          <w:bCs/>
          <w:sz w:val="20"/>
          <w:szCs w:val="20"/>
          <w:lang w:val="fr-FR"/>
        </w:rPr>
      </w:pPr>
      <w:r w:rsidRPr="00BD1925">
        <w:rPr>
          <w:rFonts w:cs="Arial"/>
          <w:sz w:val="20"/>
          <w:szCs w:val="20"/>
          <w:lang w:val="fr-FR"/>
        </w:rPr>
        <w:t>D</w:t>
      </w:r>
      <w:r w:rsidR="00C4328E">
        <w:rPr>
          <w:rFonts w:cs="Arial"/>
          <w:sz w:val="20"/>
          <w:szCs w:val="20"/>
          <w:lang w:val="fr-FR"/>
        </w:rPr>
        <w:t>ACHSER</w:t>
      </w:r>
      <w:r w:rsidRPr="00BD1925">
        <w:rPr>
          <w:rFonts w:cs="Arial"/>
          <w:sz w:val="20"/>
          <w:szCs w:val="20"/>
          <w:lang w:val="fr-FR"/>
        </w:rPr>
        <w:t xml:space="preserve"> Luxembourg S</w:t>
      </w:r>
      <w:r>
        <w:rPr>
          <w:rFonts w:cs="Arial"/>
          <w:sz w:val="20"/>
          <w:szCs w:val="20"/>
          <w:lang w:val="fr-FR"/>
        </w:rPr>
        <w:t>a</w:t>
      </w:r>
      <w:r w:rsidRPr="00BD1925">
        <w:rPr>
          <w:rFonts w:cs="Arial"/>
          <w:sz w:val="20"/>
          <w:szCs w:val="20"/>
          <w:lang w:val="fr-FR"/>
        </w:rPr>
        <w:t>rl fait partie de l'entreprise familiale D</w:t>
      </w:r>
      <w:r w:rsidR="00C4328E">
        <w:rPr>
          <w:rFonts w:cs="Arial"/>
          <w:sz w:val="20"/>
          <w:szCs w:val="20"/>
          <w:lang w:val="fr-FR"/>
        </w:rPr>
        <w:t>ACHSER</w:t>
      </w:r>
      <w:r w:rsidRPr="00BD1925">
        <w:rPr>
          <w:rFonts w:cs="Arial"/>
          <w:sz w:val="20"/>
          <w:szCs w:val="20"/>
          <w:lang w:val="fr-FR"/>
        </w:rPr>
        <w:t xml:space="preserve"> Group SE &amp; Co</w:t>
      </w:r>
      <w:r>
        <w:rPr>
          <w:rFonts w:cs="Arial"/>
          <w:sz w:val="20"/>
          <w:szCs w:val="20"/>
          <w:lang w:val="fr-FR"/>
        </w:rPr>
        <w:t xml:space="preserve">, l’un des principaux fournisseurs logistiques, dont le siège sociale est situé à Kempten, Allemagne. </w:t>
      </w:r>
      <w:r w:rsidRPr="00BD1925">
        <w:rPr>
          <w:rFonts w:cs="Arial"/>
          <w:bCs/>
          <w:sz w:val="20"/>
          <w:szCs w:val="20"/>
          <w:lang w:val="fr-FR"/>
        </w:rPr>
        <w:t>D</w:t>
      </w:r>
      <w:r w:rsidR="00C4328E">
        <w:rPr>
          <w:rFonts w:cs="Arial"/>
          <w:bCs/>
          <w:sz w:val="20"/>
          <w:szCs w:val="20"/>
          <w:lang w:val="fr-FR"/>
        </w:rPr>
        <w:t>ACHSER</w:t>
      </w:r>
      <w:r w:rsidRPr="00BD1925">
        <w:rPr>
          <w:rFonts w:cs="Arial"/>
          <w:bCs/>
          <w:sz w:val="20"/>
          <w:szCs w:val="20"/>
          <w:lang w:val="fr-FR"/>
        </w:rPr>
        <w:t xml:space="preserve"> offre des solutions complètes de transport et logistique, des prestations d’entreposage et des services axés sur les besoins de la clientèle au sein de </w:t>
      </w:r>
      <w:r>
        <w:rPr>
          <w:rFonts w:cs="Arial"/>
          <w:bCs/>
          <w:sz w:val="20"/>
          <w:szCs w:val="20"/>
          <w:lang w:val="fr-FR"/>
        </w:rPr>
        <w:t>deux</w:t>
      </w:r>
      <w:r w:rsidRPr="00BD1925">
        <w:rPr>
          <w:rFonts w:cs="Arial"/>
          <w:bCs/>
          <w:sz w:val="20"/>
          <w:szCs w:val="20"/>
          <w:lang w:val="fr-FR"/>
        </w:rPr>
        <w:t xml:space="preserve"> division</w:t>
      </w:r>
      <w:r>
        <w:rPr>
          <w:rFonts w:cs="Arial"/>
          <w:bCs/>
          <w:sz w:val="20"/>
          <w:szCs w:val="20"/>
          <w:lang w:val="fr-FR"/>
        </w:rPr>
        <w:t xml:space="preserve">s : </w:t>
      </w:r>
      <w:r w:rsidRPr="00BD1925">
        <w:rPr>
          <w:rFonts w:cs="Arial"/>
          <w:bCs/>
          <w:sz w:val="20"/>
          <w:szCs w:val="20"/>
          <w:lang w:val="fr-FR"/>
        </w:rPr>
        <w:t>D</w:t>
      </w:r>
      <w:r w:rsidR="00C4328E">
        <w:rPr>
          <w:rFonts w:cs="Arial"/>
          <w:bCs/>
          <w:sz w:val="20"/>
          <w:szCs w:val="20"/>
          <w:lang w:val="fr-FR"/>
        </w:rPr>
        <w:t>ACHSER</w:t>
      </w:r>
      <w:r w:rsidRPr="00BD1925">
        <w:rPr>
          <w:rFonts w:cs="Arial"/>
          <w:bCs/>
          <w:sz w:val="20"/>
          <w:szCs w:val="20"/>
          <w:lang w:val="fr-FR"/>
        </w:rPr>
        <w:t xml:space="preserve"> Air &amp; Sea Logistics</w:t>
      </w:r>
      <w:r>
        <w:rPr>
          <w:rFonts w:cs="Arial"/>
          <w:bCs/>
          <w:sz w:val="20"/>
          <w:szCs w:val="20"/>
          <w:lang w:val="fr-FR"/>
        </w:rPr>
        <w:t xml:space="preserve"> et  </w:t>
      </w:r>
      <w:r w:rsidRPr="002B30EA">
        <w:rPr>
          <w:rFonts w:cs="Arial"/>
          <w:bCs/>
          <w:sz w:val="20"/>
          <w:szCs w:val="20"/>
          <w:lang w:val="fr-FR"/>
        </w:rPr>
        <w:t>D</w:t>
      </w:r>
      <w:r w:rsidR="00C4328E">
        <w:rPr>
          <w:rFonts w:cs="Arial"/>
          <w:bCs/>
          <w:sz w:val="20"/>
          <w:szCs w:val="20"/>
          <w:lang w:val="fr-FR"/>
        </w:rPr>
        <w:t>ACHSER</w:t>
      </w:r>
      <w:r w:rsidRPr="002B30EA">
        <w:rPr>
          <w:rFonts w:cs="Arial"/>
          <w:bCs/>
          <w:sz w:val="20"/>
          <w:szCs w:val="20"/>
          <w:lang w:val="fr-FR"/>
        </w:rPr>
        <w:t xml:space="preserve"> Road Logistics</w:t>
      </w:r>
      <w:r w:rsidRPr="00BD1925">
        <w:rPr>
          <w:rFonts w:cs="Arial"/>
          <w:bCs/>
          <w:sz w:val="20"/>
          <w:szCs w:val="20"/>
          <w:lang w:val="fr-FR"/>
        </w:rPr>
        <w:t xml:space="preserve">. </w:t>
      </w:r>
      <w:r>
        <w:rPr>
          <w:rFonts w:cs="Arial"/>
          <w:bCs/>
          <w:sz w:val="20"/>
          <w:szCs w:val="20"/>
          <w:lang w:val="fr-FR"/>
        </w:rPr>
        <w:t xml:space="preserve">Ce dernier est  divisé en deux Business Lines : </w:t>
      </w:r>
      <w:r w:rsidRPr="00FF1898">
        <w:rPr>
          <w:rFonts w:cs="Arial"/>
          <w:bCs/>
          <w:sz w:val="20"/>
          <w:szCs w:val="20"/>
          <w:lang w:val="fr-FR"/>
        </w:rPr>
        <w:t>D</w:t>
      </w:r>
      <w:r w:rsidR="00C4328E">
        <w:rPr>
          <w:rFonts w:cs="Arial"/>
          <w:bCs/>
          <w:sz w:val="20"/>
          <w:szCs w:val="20"/>
          <w:lang w:val="fr-FR"/>
        </w:rPr>
        <w:t>ACHSER</w:t>
      </w:r>
      <w:r w:rsidRPr="00FF1898">
        <w:rPr>
          <w:rFonts w:cs="Arial"/>
          <w:bCs/>
          <w:sz w:val="20"/>
          <w:szCs w:val="20"/>
          <w:lang w:val="fr-FR"/>
        </w:rPr>
        <w:t xml:space="preserve"> European Logistics </w:t>
      </w:r>
      <w:r>
        <w:rPr>
          <w:rFonts w:cs="Arial"/>
          <w:bCs/>
          <w:sz w:val="20"/>
          <w:szCs w:val="20"/>
          <w:lang w:val="fr-FR"/>
        </w:rPr>
        <w:t>et D</w:t>
      </w:r>
      <w:r w:rsidR="00C4328E">
        <w:rPr>
          <w:rFonts w:cs="Arial"/>
          <w:bCs/>
          <w:sz w:val="20"/>
          <w:szCs w:val="20"/>
          <w:lang w:val="fr-FR"/>
        </w:rPr>
        <w:t>ACHSER</w:t>
      </w:r>
      <w:r>
        <w:rPr>
          <w:rFonts w:cs="Arial"/>
          <w:bCs/>
          <w:sz w:val="20"/>
          <w:szCs w:val="20"/>
          <w:lang w:val="fr-FR"/>
        </w:rPr>
        <w:t xml:space="preserve"> Food Logistics. Les services de logistique contractuelle sur mesure et des solutions spécifiques pour un secteur complètent l’offre. </w:t>
      </w:r>
      <w:r w:rsidRPr="00BD1925">
        <w:rPr>
          <w:rFonts w:cs="Arial"/>
          <w:bCs/>
          <w:sz w:val="20"/>
          <w:szCs w:val="20"/>
          <w:lang w:val="fr-FR"/>
        </w:rPr>
        <w:t>Un réseau de transport européen et international ainsi que des technologi</w:t>
      </w:r>
      <w:r>
        <w:rPr>
          <w:rFonts w:cs="Arial"/>
          <w:bCs/>
          <w:sz w:val="20"/>
          <w:szCs w:val="20"/>
          <w:lang w:val="fr-FR"/>
        </w:rPr>
        <w:t xml:space="preserve">es de l`information entièrement </w:t>
      </w:r>
      <w:r w:rsidRPr="00BD1925">
        <w:rPr>
          <w:rFonts w:cs="Arial"/>
          <w:bCs/>
          <w:sz w:val="20"/>
          <w:szCs w:val="20"/>
          <w:lang w:val="fr-FR"/>
        </w:rPr>
        <w:t>intégrées veillent à procurer des solutions logistiques intelligentes dans le monde entier.</w:t>
      </w:r>
    </w:p>
    <w:p w:rsidR="009A0BDF" w:rsidRPr="00FD2972" w:rsidRDefault="009A0BDF" w:rsidP="00C4328E">
      <w:pPr>
        <w:jc w:val="both"/>
        <w:rPr>
          <w:rFonts w:cs="Arial"/>
          <w:sz w:val="20"/>
          <w:szCs w:val="20"/>
          <w:lang w:val="fr-FR"/>
        </w:rPr>
      </w:pPr>
    </w:p>
    <w:p w:rsidR="009A0BDF" w:rsidRDefault="009A0BDF" w:rsidP="00C4328E">
      <w:pPr>
        <w:jc w:val="both"/>
        <w:rPr>
          <w:rFonts w:cs="Arial"/>
          <w:sz w:val="20"/>
          <w:szCs w:val="20"/>
          <w:lang w:val="fr-FR"/>
        </w:rPr>
      </w:pPr>
      <w:r w:rsidRPr="00BD1925">
        <w:rPr>
          <w:rFonts w:cs="Arial"/>
          <w:bCs/>
          <w:sz w:val="20"/>
          <w:szCs w:val="20"/>
          <w:lang w:val="fr-FR"/>
        </w:rPr>
        <w:t>Avec un effectif d’environ 2</w:t>
      </w:r>
      <w:r w:rsidR="002D26A7">
        <w:rPr>
          <w:rFonts w:cs="Arial"/>
          <w:bCs/>
          <w:sz w:val="20"/>
          <w:szCs w:val="20"/>
          <w:lang w:val="fr-FR"/>
        </w:rPr>
        <w:t>9.100</w:t>
      </w:r>
      <w:r w:rsidRPr="00BD1925">
        <w:rPr>
          <w:rFonts w:cs="Arial"/>
          <w:bCs/>
          <w:sz w:val="20"/>
          <w:szCs w:val="20"/>
          <w:lang w:val="fr-FR"/>
        </w:rPr>
        <w:t xml:space="preserve"> collaborateurs, répartis sur </w:t>
      </w:r>
      <w:r w:rsidR="002D26A7">
        <w:rPr>
          <w:rFonts w:cs="Arial"/>
          <w:bCs/>
          <w:sz w:val="20"/>
          <w:szCs w:val="20"/>
          <w:lang w:val="fr-FR"/>
        </w:rPr>
        <w:t>396</w:t>
      </w:r>
      <w:r w:rsidRPr="00BD1925">
        <w:rPr>
          <w:rFonts w:cs="Arial"/>
          <w:bCs/>
          <w:sz w:val="20"/>
          <w:szCs w:val="20"/>
          <w:lang w:val="fr-FR"/>
        </w:rPr>
        <w:t xml:space="preserve"> sites en </w:t>
      </w:r>
      <w:r>
        <w:rPr>
          <w:rFonts w:cs="Arial"/>
          <w:bCs/>
          <w:sz w:val="20"/>
          <w:szCs w:val="20"/>
          <w:lang w:val="fr-FR"/>
        </w:rPr>
        <w:t>4</w:t>
      </w:r>
      <w:r w:rsidR="002D26A7">
        <w:rPr>
          <w:rFonts w:cs="Arial"/>
          <w:bCs/>
          <w:sz w:val="20"/>
          <w:szCs w:val="20"/>
          <w:lang w:val="fr-FR"/>
        </w:rPr>
        <w:t>4</w:t>
      </w:r>
      <w:r w:rsidRPr="00BD1925">
        <w:rPr>
          <w:rFonts w:cs="Arial"/>
          <w:bCs/>
          <w:sz w:val="20"/>
          <w:szCs w:val="20"/>
          <w:lang w:val="fr-FR"/>
        </w:rPr>
        <w:t xml:space="preserve"> pays, D</w:t>
      </w:r>
      <w:r w:rsidR="00C4328E">
        <w:rPr>
          <w:rFonts w:cs="Arial"/>
          <w:bCs/>
          <w:sz w:val="20"/>
          <w:szCs w:val="20"/>
          <w:lang w:val="fr-FR"/>
        </w:rPr>
        <w:t>ACHSER</w:t>
      </w:r>
      <w:r w:rsidRPr="00BD1925">
        <w:rPr>
          <w:rFonts w:cs="Arial"/>
          <w:bCs/>
          <w:sz w:val="20"/>
          <w:szCs w:val="20"/>
          <w:lang w:val="fr-FR"/>
        </w:rPr>
        <w:t xml:space="preserve"> a réalisé, en  201</w:t>
      </w:r>
      <w:r w:rsidR="002D26A7">
        <w:rPr>
          <w:rFonts w:cs="Arial"/>
          <w:bCs/>
          <w:sz w:val="20"/>
          <w:szCs w:val="20"/>
          <w:lang w:val="fr-FR"/>
        </w:rPr>
        <w:t>7</w:t>
      </w:r>
      <w:r w:rsidRPr="00BD1925">
        <w:rPr>
          <w:rFonts w:cs="Arial"/>
          <w:bCs/>
          <w:sz w:val="20"/>
          <w:szCs w:val="20"/>
          <w:lang w:val="fr-FR"/>
        </w:rPr>
        <w:t xml:space="preserve">, un chiffre d’affaires de </w:t>
      </w:r>
      <w:r w:rsidR="002D26A7">
        <w:rPr>
          <w:rFonts w:cs="Arial"/>
          <w:bCs/>
          <w:sz w:val="20"/>
          <w:szCs w:val="20"/>
          <w:lang w:val="fr-FR"/>
        </w:rPr>
        <w:t>6</w:t>
      </w:r>
      <w:r w:rsidRPr="00BD1925">
        <w:rPr>
          <w:rFonts w:cs="Arial"/>
          <w:bCs/>
          <w:sz w:val="20"/>
          <w:szCs w:val="20"/>
          <w:lang w:val="fr-FR"/>
        </w:rPr>
        <w:t>,</w:t>
      </w:r>
      <w:r w:rsidR="002D26A7">
        <w:rPr>
          <w:rFonts w:cs="Arial"/>
          <w:bCs/>
          <w:sz w:val="20"/>
          <w:szCs w:val="20"/>
          <w:lang w:val="fr-FR"/>
        </w:rPr>
        <w:t>12</w:t>
      </w:r>
      <w:r w:rsidRPr="00BD1925">
        <w:rPr>
          <w:rFonts w:cs="Arial"/>
          <w:bCs/>
          <w:sz w:val="20"/>
          <w:szCs w:val="20"/>
          <w:lang w:val="fr-FR"/>
        </w:rPr>
        <w:t xml:space="preserve"> milliards d’euros, représentant environ </w:t>
      </w:r>
      <w:r>
        <w:rPr>
          <w:rFonts w:cs="Arial"/>
          <w:bCs/>
          <w:sz w:val="20"/>
          <w:szCs w:val="20"/>
          <w:lang w:val="fr-FR"/>
        </w:rPr>
        <w:t>8</w:t>
      </w:r>
      <w:r w:rsidR="002D26A7">
        <w:rPr>
          <w:rFonts w:cs="Arial"/>
          <w:bCs/>
          <w:sz w:val="20"/>
          <w:szCs w:val="20"/>
          <w:lang w:val="fr-FR"/>
        </w:rPr>
        <w:t>1,7</w:t>
      </w:r>
      <w:r w:rsidRPr="00BD1925">
        <w:rPr>
          <w:rFonts w:cs="Arial"/>
          <w:bCs/>
          <w:sz w:val="20"/>
          <w:szCs w:val="20"/>
          <w:lang w:val="fr-FR"/>
        </w:rPr>
        <w:t xml:space="preserve"> millions d’envois et un poids total de </w:t>
      </w:r>
      <w:r>
        <w:rPr>
          <w:rFonts w:cs="Arial"/>
          <w:bCs/>
          <w:sz w:val="20"/>
          <w:szCs w:val="20"/>
          <w:lang w:val="fr-FR"/>
        </w:rPr>
        <w:t>3</w:t>
      </w:r>
      <w:r w:rsidR="002D26A7">
        <w:rPr>
          <w:rFonts w:cs="Arial"/>
          <w:bCs/>
          <w:sz w:val="20"/>
          <w:szCs w:val="20"/>
          <w:lang w:val="fr-FR"/>
        </w:rPr>
        <w:t>9</w:t>
      </w:r>
      <w:r w:rsidRPr="00BD1925">
        <w:rPr>
          <w:rFonts w:cs="Arial"/>
          <w:bCs/>
          <w:sz w:val="20"/>
          <w:szCs w:val="20"/>
          <w:lang w:val="fr-FR"/>
        </w:rPr>
        <w:t>,</w:t>
      </w:r>
      <w:r w:rsidR="002D26A7">
        <w:rPr>
          <w:rFonts w:cs="Arial"/>
          <w:bCs/>
          <w:sz w:val="20"/>
          <w:szCs w:val="20"/>
          <w:lang w:val="fr-FR"/>
        </w:rPr>
        <w:t>8</w:t>
      </w:r>
      <w:r w:rsidRPr="00BD1925">
        <w:rPr>
          <w:rFonts w:cs="Arial"/>
          <w:bCs/>
          <w:sz w:val="20"/>
          <w:szCs w:val="20"/>
          <w:lang w:val="fr-FR"/>
        </w:rPr>
        <w:t xml:space="preserve"> millions de tonnes.</w:t>
      </w:r>
      <w:r w:rsidRPr="00BD1925">
        <w:rPr>
          <w:rFonts w:cs="Arial"/>
          <w:sz w:val="20"/>
          <w:szCs w:val="20"/>
          <w:lang w:val="fr-FR"/>
        </w:rPr>
        <w:t xml:space="preserve"> La succursale luxembourgeoise, qui a ouvert ses portes en 2011, est située à Grevenmacher et emploie quelque </w:t>
      </w:r>
      <w:r>
        <w:rPr>
          <w:rFonts w:cs="Arial"/>
          <w:sz w:val="20"/>
          <w:szCs w:val="20"/>
          <w:lang w:val="fr-FR"/>
        </w:rPr>
        <w:t>40</w:t>
      </w:r>
      <w:r w:rsidRPr="00BD1925">
        <w:rPr>
          <w:rFonts w:cs="Arial"/>
          <w:sz w:val="20"/>
          <w:szCs w:val="20"/>
          <w:lang w:val="fr-FR"/>
        </w:rPr>
        <w:t xml:space="preserve"> collaborateurs.</w:t>
      </w:r>
    </w:p>
    <w:p w:rsidR="00647EB3" w:rsidRDefault="00647EB3" w:rsidP="00C4328E">
      <w:pPr>
        <w:jc w:val="both"/>
        <w:rPr>
          <w:rFonts w:cs="Arial"/>
          <w:sz w:val="20"/>
          <w:szCs w:val="20"/>
          <w:lang w:val="fr-FR"/>
        </w:rPr>
      </w:pPr>
    </w:p>
    <w:p w:rsidR="00647EB3" w:rsidRPr="000150AB" w:rsidRDefault="00647EB3" w:rsidP="00C4328E">
      <w:pPr>
        <w:spacing w:line="276" w:lineRule="auto"/>
        <w:jc w:val="both"/>
        <w:rPr>
          <w:sz w:val="20"/>
          <w:szCs w:val="20"/>
          <w:lang w:val="fr-FR"/>
        </w:rPr>
      </w:pPr>
      <w:r w:rsidRPr="00D145F6">
        <w:rPr>
          <w:rFonts w:cs="Arial"/>
          <w:color w:val="000000"/>
          <w:sz w:val="20"/>
          <w:szCs w:val="20"/>
          <w:lang w:val="fr-FR"/>
        </w:rPr>
        <w:t xml:space="preserve">Pour plus d´informations, images supplémentaires ou votre demande d´entrevue </w:t>
      </w:r>
      <w:r>
        <w:rPr>
          <w:rFonts w:cs="Arial"/>
          <w:color w:val="000000"/>
          <w:sz w:val="20"/>
          <w:szCs w:val="20"/>
          <w:lang w:val="fr-FR"/>
        </w:rPr>
        <w:t>n´hésiter pas à nous contacter:</w:t>
      </w:r>
    </w:p>
    <w:p w:rsidR="00647EB3" w:rsidRPr="000150AB" w:rsidRDefault="00647EB3" w:rsidP="00647EB3">
      <w:pPr>
        <w:pStyle w:val="NoSpacing"/>
        <w:spacing w:line="276" w:lineRule="auto"/>
        <w:jc w:val="both"/>
        <w:rPr>
          <w:sz w:val="20"/>
          <w:szCs w:val="20"/>
          <w:lang w:val="fr-FR"/>
        </w:rPr>
      </w:pPr>
    </w:p>
    <w:p w:rsidR="00647EB3" w:rsidRPr="006476E7" w:rsidRDefault="00647EB3" w:rsidP="00647EB3">
      <w:pPr>
        <w:pStyle w:val="NoSpacing"/>
        <w:spacing w:line="276" w:lineRule="auto"/>
        <w:rPr>
          <w:sz w:val="18"/>
          <w:szCs w:val="18"/>
          <w:lang w:val="fr-FR"/>
        </w:rPr>
      </w:pPr>
      <w:r w:rsidRPr="006476E7">
        <w:rPr>
          <w:sz w:val="18"/>
          <w:szCs w:val="18"/>
          <w:lang w:val="fr-FR"/>
        </w:rPr>
        <w:t xml:space="preserve">Geert Koster, </w:t>
      </w:r>
      <w:r w:rsidRPr="006476E7">
        <w:rPr>
          <w:i/>
          <w:sz w:val="18"/>
          <w:szCs w:val="18"/>
          <w:lang w:val="fr-FR"/>
        </w:rPr>
        <w:t>Marketing &amp; Communication</w:t>
      </w:r>
      <w:r w:rsidRPr="006476E7">
        <w:rPr>
          <w:i/>
          <w:sz w:val="18"/>
          <w:szCs w:val="18"/>
          <w:lang w:val="fr-FR"/>
        </w:rPr>
        <w:tab/>
      </w:r>
      <w:r w:rsidRPr="006476E7">
        <w:rPr>
          <w:i/>
          <w:sz w:val="18"/>
          <w:szCs w:val="18"/>
          <w:lang w:val="fr-FR"/>
        </w:rPr>
        <w:tab/>
      </w:r>
      <w:r w:rsidRPr="006476E7">
        <w:rPr>
          <w:i/>
          <w:sz w:val="18"/>
          <w:szCs w:val="18"/>
          <w:lang w:val="fr-FR"/>
        </w:rPr>
        <w:tab/>
      </w:r>
    </w:p>
    <w:p w:rsidR="00647EB3" w:rsidRPr="006476E7" w:rsidRDefault="00647EB3" w:rsidP="00647EB3">
      <w:pPr>
        <w:pStyle w:val="NoSpacing"/>
        <w:spacing w:line="276" w:lineRule="auto"/>
        <w:rPr>
          <w:sz w:val="18"/>
          <w:szCs w:val="18"/>
          <w:lang w:val="fr-FR"/>
        </w:rPr>
      </w:pPr>
      <w:r w:rsidRPr="006476E7">
        <w:rPr>
          <w:sz w:val="18"/>
          <w:szCs w:val="18"/>
          <w:lang w:val="fr-FR"/>
        </w:rPr>
        <w:t>T: 0031 (0) 316-521133</w:t>
      </w:r>
      <w:r w:rsidRPr="006476E7">
        <w:rPr>
          <w:sz w:val="18"/>
          <w:szCs w:val="18"/>
          <w:lang w:val="fr-FR"/>
        </w:rPr>
        <w:tab/>
      </w:r>
      <w:r w:rsidRPr="006476E7">
        <w:rPr>
          <w:sz w:val="18"/>
          <w:szCs w:val="18"/>
          <w:lang w:val="fr-FR"/>
        </w:rPr>
        <w:tab/>
      </w:r>
      <w:r w:rsidRPr="006476E7">
        <w:rPr>
          <w:sz w:val="18"/>
          <w:szCs w:val="18"/>
          <w:lang w:val="fr-FR"/>
        </w:rPr>
        <w:tab/>
      </w:r>
      <w:r w:rsidRPr="006476E7">
        <w:rPr>
          <w:sz w:val="18"/>
          <w:szCs w:val="18"/>
          <w:lang w:val="fr-FR"/>
        </w:rPr>
        <w:tab/>
      </w:r>
      <w:r w:rsidRPr="006476E7">
        <w:rPr>
          <w:sz w:val="18"/>
          <w:szCs w:val="18"/>
          <w:lang w:val="fr-FR"/>
        </w:rPr>
        <w:tab/>
      </w:r>
    </w:p>
    <w:p w:rsidR="002D26A7" w:rsidRPr="006476E7" w:rsidRDefault="00647EB3" w:rsidP="00647EB3">
      <w:pPr>
        <w:spacing w:line="276" w:lineRule="auto"/>
        <w:rPr>
          <w:sz w:val="18"/>
          <w:szCs w:val="18"/>
          <w:lang w:val="fr-FR"/>
        </w:rPr>
      </w:pPr>
      <w:r w:rsidRPr="006476E7">
        <w:rPr>
          <w:sz w:val="18"/>
          <w:szCs w:val="18"/>
          <w:lang w:val="fr-FR"/>
        </w:rPr>
        <w:t xml:space="preserve">M: </w:t>
      </w:r>
      <w:hyperlink r:id="rId8" w:history="1">
        <w:r w:rsidRPr="006476E7">
          <w:rPr>
            <w:rStyle w:val="Hyperlink"/>
            <w:sz w:val="18"/>
            <w:szCs w:val="18"/>
            <w:lang w:val="fr-FR"/>
          </w:rPr>
          <w:t>geert.koster@dachser.com</w:t>
        </w:r>
      </w:hyperlink>
      <w:r w:rsidRPr="006476E7">
        <w:rPr>
          <w:sz w:val="18"/>
          <w:szCs w:val="18"/>
          <w:lang w:val="fr-FR"/>
        </w:rPr>
        <w:t xml:space="preserve"> </w:t>
      </w:r>
    </w:p>
    <w:p w:rsidR="002D26A7" w:rsidRPr="006476E7" w:rsidRDefault="002D26A7" w:rsidP="00647EB3">
      <w:pPr>
        <w:spacing w:line="276" w:lineRule="auto"/>
        <w:rPr>
          <w:sz w:val="18"/>
          <w:szCs w:val="18"/>
          <w:lang w:val="fr-FR"/>
        </w:rPr>
      </w:pPr>
      <w:r w:rsidRPr="006476E7">
        <w:rPr>
          <w:sz w:val="18"/>
          <w:szCs w:val="18"/>
          <w:lang w:val="fr-FR"/>
        </w:rPr>
        <w:t>Ou:</w:t>
      </w:r>
    </w:p>
    <w:p w:rsidR="002D26A7" w:rsidRPr="002D26A7" w:rsidRDefault="002D26A7" w:rsidP="002D26A7">
      <w:pPr>
        <w:pStyle w:val="NoSpacing"/>
        <w:rPr>
          <w:sz w:val="18"/>
          <w:szCs w:val="18"/>
          <w:lang w:val="fr-FR"/>
        </w:rPr>
      </w:pPr>
      <w:r w:rsidRPr="002D26A7">
        <w:rPr>
          <w:sz w:val="18"/>
          <w:szCs w:val="18"/>
          <w:lang w:val="fr-FR"/>
        </w:rPr>
        <w:t>Raïsa Mertens, Marketing &amp; Communication</w:t>
      </w:r>
    </w:p>
    <w:p w:rsidR="002D26A7" w:rsidRPr="002D26A7" w:rsidRDefault="002D26A7" w:rsidP="002D26A7">
      <w:pPr>
        <w:pStyle w:val="NoSpacing"/>
        <w:rPr>
          <w:sz w:val="18"/>
          <w:szCs w:val="18"/>
          <w:lang w:val="fr-FR"/>
        </w:rPr>
      </w:pPr>
      <w:r w:rsidRPr="002D26A7">
        <w:rPr>
          <w:sz w:val="18"/>
          <w:szCs w:val="18"/>
          <w:lang w:val="fr-FR"/>
        </w:rPr>
        <w:t>T: 0031 (0) 180-635363</w:t>
      </w:r>
    </w:p>
    <w:p w:rsidR="00647EB3" w:rsidRPr="002D26A7" w:rsidRDefault="002D26A7" w:rsidP="002D26A7">
      <w:pPr>
        <w:pStyle w:val="NoSpacing"/>
        <w:rPr>
          <w:sz w:val="20"/>
          <w:szCs w:val="20"/>
          <w:lang w:val="fr-FR"/>
        </w:rPr>
      </w:pPr>
      <w:r w:rsidRPr="002D26A7">
        <w:rPr>
          <w:sz w:val="18"/>
          <w:szCs w:val="18"/>
          <w:lang w:val="fr-FR"/>
        </w:rPr>
        <w:t>M : raisa.mertens@dachser.com</w:t>
      </w:r>
      <w:r w:rsidR="00647EB3" w:rsidRPr="002D26A7">
        <w:rPr>
          <w:sz w:val="20"/>
          <w:szCs w:val="20"/>
          <w:lang w:val="fr-FR"/>
        </w:rPr>
        <w:tab/>
      </w:r>
    </w:p>
    <w:p w:rsidR="00647EB3" w:rsidRPr="002D26A7" w:rsidRDefault="00647EB3" w:rsidP="00647EB3">
      <w:pPr>
        <w:spacing w:line="276" w:lineRule="auto"/>
        <w:rPr>
          <w:sz w:val="18"/>
          <w:szCs w:val="18"/>
          <w:lang w:val="fr-FR"/>
        </w:rPr>
      </w:pPr>
    </w:p>
    <w:p w:rsidR="00647EB3" w:rsidRPr="00E0349E" w:rsidRDefault="00647EB3" w:rsidP="00647EB3">
      <w:pPr>
        <w:spacing w:line="276" w:lineRule="auto"/>
        <w:rPr>
          <w:sz w:val="20"/>
          <w:szCs w:val="20"/>
          <w:lang w:val="en-GB"/>
        </w:rPr>
      </w:pPr>
      <w:r>
        <w:rPr>
          <w:sz w:val="18"/>
          <w:szCs w:val="18"/>
          <w:lang w:val="en-US"/>
        </w:rPr>
        <w:t>www.dachser.lu</w:t>
      </w:r>
      <w:r w:rsidRPr="00E0349E">
        <w:rPr>
          <w:sz w:val="18"/>
          <w:szCs w:val="18"/>
          <w:lang w:val="en-US"/>
        </w:rPr>
        <w:tab/>
      </w:r>
      <w:r w:rsidRPr="00E0349E">
        <w:rPr>
          <w:sz w:val="18"/>
          <w:szCs w:val="18"/>
          <w:lang w:val="en-US"/>
        </w:rPr>
        <w:tab/>
      </w:r>
      <w:r w:rsidRPr="00E0349E">
        <w:rPr>
          <w:sz w:val="18"/>
          <w:szCs w:val="18"/>
          <w:lang w:val="en-US"/>
        </w:rPr>
        <w:tab/>
      </w:r>
    </w:p>
    <w:p w:rsidR="00647EB3" w:rsidRPr="00BD1925" w:rsidRDefault="00647EB3" w:rsidP="00647EB3">
      <w:pPr>
        <w:rPr>
          <w:rFonts w:cs="Arial"/>
          <w:sz w:val="20"/>
          <w:szCs w:val="20"/>
          <w:lang w:val="fr-FR"/>
        </w:rPr>
      </w:pPr>
    </w:p>
    <w:p w:rsidR="00D17055" w:rsidRPr="00665C40" w:rsidRDefault="00D17055" w:rsidP="00D17055">
      <w:pPr>
        <w:spacing w:line="360" w:lineRule="auto"/>
        <w:jc w:val="both"/>
        <w:rPr>
          <w:sz w:val="20"/>
          <w:szCs w:val="20"/>
          <w:lang w:val="fr-FR"/>
        </w:rPr>
      </w:pPr>
    </w:p>
    <w:p w:rsidR="00D17055" w:rsidRPr="00665C40" w:rsidRDefault="00D17055" w:rsidP="00D17055">
      <w:pPr>
        <w:spacing w:line="360" w:lineRule="auto"/>
        <w:jc w:val="both"/>
        <w:rPr>
          <w:sz w:val="20"/>
          <w:szCs w:val="20"/>
          <w:lang w:val="fr-FR"/>
        </w:rPr>
      </w:pPr>
    </w:p>
    <w:p w:rsidR="00EE1036" w:rsidRPr="00EE1036" w:rsidRDefault="00EE1036" w:rsidP="00EE1036">
      <w:pPr>
        <w:spacing w:line="360" w:lineRule="auto"/>
        <w:jc w:val="both"/>
        <w:rPr>
          <w:rFonts w:asciiTheme="minorBidi" w:hAnsiTheme="minorBidi"/>
          <w:sz w:val="20"/>
          <w:szCs w:val="20"/>
          <w:lang w:val="fr-FR"/>
        </w:rPr>
      </w:pPr>
    </w:p>
    <w:p w:rsidR="00EE1036" w:rsidRPr="009A0BDF" w:rsidRDefault="00EE1036" w:rsidP="00EE1036">
      <w:pPr>
        <w:jc w:val="both"/>
        <w:rPr>
          <w:rFonts w:asciiTheme="minorBidi" w:hAnsiTheme="minorBidi"/>
          <w:sz w:val="20"/>
          <w:szCs w:val="20"/>
          <w:lang w:val="fr-FR"/>
        </w:rPr>
      </w:pPr>
    </w:p>
    <w:p w:rsidR="00856208" w:rsidRPr="009A0BDF" w:rsidRDefault="00856208" w:rsidP="00D17055">
      <w:pPr>
        <w:rPr>
          <w:lang w:val="fr-FR"/>
        </w:rPr>
      </w:pPr>
    </w:p>
    <w:sectPr w:rsidR="00856208" w:rsidRPr="009A0BDF" w:rsidSect="00856208">
      <w:headerReference w:type="default" r:id="rId9"/>
      <w:footerReference w:type="default" r:id="rId10"/>
      <w:headerReference w:type="first" r:id="rId11"/>
      <w:footerReference w:type="first" r:id="rId12"/>
      <w:type w:val="continuous"/>
      <w:pgSz w:w="11906" w:h="16838" w:code="9"/>
      <w:pgMar w:top="2858" w:right="1134" w:bottom="1134" w:left="1418" w:header="709" w:footer="28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1C5" w:rsidRDefault="00D821C5" w:rsidP="007F4C70">
      <w:pPr>
        <w:spacing w:after="0" w:line="240" w:lineRule="auto"/>
      </w:pPr>
      <w:r>
        <w:separator/>
      </w:r>
    </w:p>
    <w:p w:rsidR="00D821C5" w:rsidRDefault="00D821C5"/>
    <w:p w:rsidR="00D821C5" w:rsidRDefault="00D821C5"/>
    <w:p w:rsidR="00D821C5" w:rsidRDefault="00D821C5"/>
  </w:endnote>
  <w:endnote w:type="continuationSeparator" w:id="0">
    <w:p w:rsidR="00D821C5" w:rsidRDefault="00D821C5" w:rsidP="007F4C70">
      <w:pPr>
        <w:spacing w:after="0" w:line="240" w:lineRule="auto"/>
      </w:pPr>
      <w:r>
        <w:continuationSeparator/>
      </w:r>
    </w:p>
    <w:p w:rsidR="00D821C5" w:rsidRDefault="00D821C5"/>
    <w:p w:rsidR="00D821C5" w:rsidRDefault="00D821C5"/>
    <w:p w:rsidR="00D821C5" w:rsidRDefault="00D821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242141"/>
      <w:docPartObj>
        <w:docPartGallery w:val="Page Numbers (Bottom of Page)"/>
        <w:docPartUnique/>
      </w:docPartObj>
    </w:sdtPr>
    <w:sdtEndPr/>
    <w:sdtContent>
      <w:p w:rsidR="00EA1152" w:rsidRDefault="00EA1152" w:rsidP="008B1872">
        <w:pPr>
          <w:pStyle w:val="PaginierungPagination11ptDACHSER"/>
        </w:pPr>
        <w:r>
          <w:fldChar w:fldCharType="begin"/>
        </w:r>
        <w:r>
          <w:instrText>PAGE   \* MERGEFORMAT</w:instrText>
        </w:r>
        <w:r>
          <w:fldChar w:fldCharType="separate"/>
        </w:r>
        <w:r w:rsidR="00822473">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143051"/>
      <w:docPartObj>
        <w:docPartGallery w:val="Page Numbers (Bottom of Page)"/>
        <w:docPartUnique/>
      </w:docPartObj>
    </w:sdtPr>
    <w:sdtEndPr/>
    <w:sdtContent>
      <w:p w:rsidR="00EA1152" w:rsidRPr="008A4395" w:rsidRDefault="00EA1152" w:rsidP="0040700F">
        <w:pPr>
          <w:jc w:val="center"/>
        </w:pPr>
        <w:r w:rsidRPr="008A4395">
          <w:fldChar w:fldCharType="begin"/>
        </w:r>
        <w:r w:rsidRPr="008A4395">
          <w:instrText>PAGE   \* MERGEFORMAT</w:instrText>
        </w:r>
        <w:r w:rsidRPr="008A4395">
          <w:fldChar w:fldCharType="separate"/>
        </w:r>
        <w:r w:rsidR="008B3231">
          <w:rPr>
            <w:noProof/>
          </w:rPr>
          <w:t>1</w:t>
        </w:r>
        <w:r w:rsidRPr="008A4395">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1C5" w:rsidRDefault="00D821C5" w:rsidP="007F4C70">
      <w:pPr>
        <w:spacing w:after="0" w:line="240" w:lineRule="auto"/>
      </w:pPr>
      <w:r>
        <w:separator/>
      </w:r>
    </w:p>
    <w:p w:rsidR="00D821C5" w:rsidRDefault="00D821C5"/>
    <w:p w:rsidR="00D821C5" w:rsidRDefault="00D821C5"/>
    <w:p w:rsidR="00D821C5" w:rsidRDefault="00D821C5"/>
  </w:footnote>
  <w:footnote w:type="continuationSeparator" w:id="0">
    <w:p w:rsidR="00D821C5" w:rsidRDefault="00D821C5" w:rsidP="007F4C70">
      <w:pPr>
        <w:spacing w:after="0" w:line="240" w:lineRule="auto"/>
      </w:pPr>
      <w:r>
        <w:continuationSeparator/>
      </w:r>
    </w:p>
    <w:p w:rsidR="00D821C5" w:rsidRDefault="00D821C5"/>
    <w:p w:rsidR="00D821C5" w:rsidRDefault="00D821C5"/>
    <w:p w:rsidR="00D821C5" w:rsidRDefault="00D821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52" w:rsidRDefault="00EA1152">
    <w:r>
      <w:rPr>
        <w:noProof/>
        <w:lang w:val="en-US" w:eastAsia="en-US"/>
      </w:rPr>
      <w:drawing>
        <wp:anchor distT="0" distB="0" distL="114300" distR="114300" simplePos="0" relativeHeight="251659264" behindDoc="0" locked="0" layoutInCell="1" allowOverlap="1" wp14:anchorId="4E0B6F6E" wp14:editId="27BEACB3">
          <wp:simplePos x="0" y="0"/>
          <wp:positionH relativeFrom="rightMargin">
            <wp:posOffset>-1944370</wp:posOffset>
          </wp:positionH>
          <wp:positionV relativeFrom="page">
            <wp:posOffset>720090</wp:posOffset>
          </wp:positionV>
          <wp:extent cx="1944000" cy="374400"/>
          <wp:effectExtent l="0" t="0" r="0"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906_DACHS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374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152" w:rsidRDefault="00EA1152" w:rsidP="00A666FC">
    <w:pPr>
      <w:jc w:val="right"/>
    </w:pPr>
    <w:r>
      <w:rPr>
        <w:noProof/>
        <w:lang w:val="en-US" w:eastAsia="en-US"/>
      </w:rPr>
      <w:drawing>
        <wp:anchor distT="0" distB="0" distL="114300" distR="114300" simplePos="0" relativeHeight="251656192" behindDoc="0" locked="0" layoutInCell="1" allowOverlap="1" wp14:anchorId="58F40B6B" wp14:editId="2566F126">
          <wp:simplePos x="0" y="0"/>
          <wp:positionH relativeFrom="rightMargin">
            <wp:posOffset>-1944370</wp:posOffset>
          </wp:positionH>
          <wp:positionV relativeFrom="page">
            <wp:posOffset>720090</wp:posOffset>
          </wp:positionV>
          <wp:extent cx="1944000" cy="374400"/>
          <wp:effectExtent l="0" t="0" r="0" b="6985"/>
          <wp:wrapNone/>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906_DACHSE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000" cy="37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34726232"/>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FF1A204E"/>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50100BE8"/>
    <w:lvl w:ilvl="0">
      <w:start w:val="1"/>
      <w:numFmt w:val="bullet"/>
      <w:lvlText w:val=""/>
      <w:lvlJc w:val="left"/>
      <w:pPr>
        <w:tabs>
          <w:tab w:val="num" w:pos="360"/>
        </w:tabs>
        <w:ind w:left="360" w:hanging="360"/>
      </w:pPr>
      <w:rPr>
        <w:rFonts w:ascii="Symbol" w:hAnsi="Symbol" w:hint="default"/>
      </w:rPr>
    </w:lvl>
  </w:abstractNum>
  <w:abstractNum w:abstractNumId="3">
    <w:nsid w:val="049D2C94"/>
    <w:multiLevelType w:val="hybridMultilevel"/>
    <w:tmpl w:val="F1C25252"/>
    <w:lvl w:ilvl="0" w:tplc="C6AC626A">
      <w:start w:val="1"/>
      <w:numFmt w:val="bullet"/>
      <w:pStyle w:val="1Aufzhlung"/>
      <w:lvlText w:val=""/>
      <w:lvlJc w:val="left"/>
      <w:pPr>
        <w:ind w:left="64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nsid w:val="1D8C3B6D"/>
    <w:multiLevelType w:val="hybridMultilevel"/>
    <w:tmpl w:val="2CC01CB0"/>
    <w:lvl w:ilvl="0" w:tplc="DA0A2B3E">
      <w:start w:val="1"/>
      <w:numFmt w:val="bullet"/>
      <w:pStyle w:val="2Aufzhlung"/>
      <w:lvlText w:val="o"/>
      <w:lvlJc w:val="left"/>
      <w:pPr>
        <w:ind w:left="1003" w:hanging="360"/>
      </w:pPr>
      <w:rPr>
        <w:rFonts w:ascii="Courier New" w:hAnsi="Courier New" w:cs="Courier New"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5">
    <w:nsid w:val="30F90342"/>
    <w:multiLevelType w:val="hybridMultilevel"/>
    <w:tmpl w:val="6AFCBC62"/>
    <w:lvl w:ilvl="0" w:tplc="FF60C1A4">
      <w:start w:val="1"/>
      <w:numFmt w:val="bullet"/>
      <w:pStyle w:val="3Aufzhlung"/>
      <w:lvlText w:val=""/>
      <w:lvlJc w:val="left"/>
      <w:pPr>
        <w:ind w:left="2138" w:hanging="360"/>
      </w:pPr>
      <w:rPr>
        <w:rFonts w:ascii="Wingdings" w:hAnsi="Wingdings"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55"/>
    <w:rsid w:val="0000183F"/>
    <w:rsid w:val="000120CE"/>
    <w:rsid w:val="000812D9"/>
    <w:rsid w:val="00096A76"/>
    <w:rsid w:val="000A344A"/>
    <w:rsid w:val="000C4E62"/>
    <w:rsid w:val="000E0CA0"/>
    <w:rsid w:val="000E16C0"/>
    <w:rsid w:val="000E1A64"/>
    <w:rsid w:val="000E2ECE"/>
    <w:rsid w:val="00101CB1"/>
    <w:rsid w:val="00150B00"/>
    <w:rsid w:val="001619E7"/>
    <w:rsid w:val="0017727B"/>
    <w:rsid w:val="00183DA4"/>
    <w:rsid w:val="001A132A"/>
    <w:rsid w:val="001A4EBA"/>
    <w:rsid w:val="001A5031"/>
    <w:rsid w:val="001F4B3D"/>
    <w:rsid w:val="00232441"/>
    <w:rsid w:val="00257307"/>
    <w:rsid w:val="00267E75"/>
    <w:rsid w:val="00285203"/>
    <w:rsid w:val="002A7914"/>
    <w:rsid w:val="002B50B0"/>
    <w:rsid w:val="002D26A7"/>
    <w:rsid w:val="002D41C0"/>
    <w:rsid w:val="002F30DD"/>
    <w:rsid w:val="002F5E7E"/>
    <w:rsid w:val="003266B5"/>
    <w:rsid w:val="003617E8"/>
    <w:rsid w:val="0037592A"/>
    <w:rsid w:val="003812F2"/>
    <w:rsid w:val="003852CF"/>
    <w:rsid w:val="003A1F56"/>
    <w:rsid w:val="003B5E22"/>
    <w:rsid w:val="003E494D"/>
    <w:rsid w:val="0040700F"/>
    <w:rsid w:val="004720C4"/>
    <w:rsid w:val="004F6822"/>
    <w:rsid w:val="0050538B"/>
    <w:rsid w:val="00561E20"/>
    <w:rsid w:val="005674BD"/>
    <w:rsid w:val="0058115A"/>
    <w:rsid w:val="00590FFF"/>
    <w:rsid w:val="005A722D"/>
    <w:rsid w:val="005D79F4"/>
    <w:rsid w:val="00626451"/>
    <w:rsid w:val="00627460"/>
    <w:rsid w:val="006476E7"/>
    <w:rsid w:val="00647EB3"/>
    <w:rsid w:val="0065009B"/>
    <w:rsid w:val="00653200"/>
    <w:rsid w:val="006569A4"/>
    <w:rsid w:val="00665C40"/>
    <w:rsid w:val="006672E9"/>
    <w:rsid w:val="0068306C"/>
    <w:rsid w:val="006D1CA2"/>
    <w:rsid w:val="0072158F"/>
    <w:rsid w:val="0072679D"/>
    <w:rsid w:val="00730925"/>
    <w:rsid w:val="00731F87"/>
    <w:rsid w:val="00732E5B"/>
    <w:rsid w:val="00737148"/>
    <w:rsid w:val="00743606"/>
    <w:rsid w:val="00747458"/>
    <w:rsid w:val="00751DE0"/>
    <w:rsid w:val="00756F52"/>
    <w:rsid w:val="00760E12"/>
    <w:rsid w:val="00787C48"/>
    <w:rsid w:val="00790258"/>
    <w:rsid w:val="007B1857"/>
    <w:rsid w:val="007E24B2"/>
    <w:rsid w:val="007F1013"/>
    <w:rsid w:val="007F4C70"/>
    <w:rsid w:val="00811B08"/>
    <w:rsid w:val="00822473"/>
    <w:rsid w:val="008229F7"/>
    <w:rsid w:val="00852794"/>
    <w:rsid w:val="00856208"/>
    <w:rsid w:val="008628A6"/>
    <w:rsid w:val="008750DB"/>
    <w:rsid w:val="008A1BE7"/>
    <w:rsid w:val="008A2C3A"/>
    <w:rsid w:val="008A4395"/>
    <w:rsid w:val="008A7FF7"/>
    <w:rsid w:val="008B1872"/>
    <w:rsid w:val="008B3231"/>
    <w:rsid w:val="008C0A54"/>
    <w:rsid w:val="008C6969"/>
    <w:rsid w:val="008C6BFD"/>
    <w:rsid w:val="008D558F"/>
    <w:rsid w:val="00910222"/>
    <w:rsid w:val="0092414E"/>
    <w:rsid w:val="009409FD"/>
    <w:rsid w:val="009460B5"/>
    <w:rsid w:val="009A0BDF"/>
    <w:rsid w:val="009B4CBF"/>
    <w:rsid w:val="009B794C"/>
    <w:rsid w:val="009B7B84"/>
    <w:rsid w:val="009D1C77"/>
    <w:rsid w:val="009D5FC7"/>
    <w:rsid w:val="009E24A1"/>
    <w:rsid w:val="009F3364"/>
    <w:rsid w:val="00A63859"/>
    <w:rsid w:val="00A666FC"/>
    <w:rsid w:val="00A86722"/>
    <w:rsid w:val="00A95B37"/>
    <w:rsid w:val="00A961A0"/>
    <w:rsid w:val="00A96BC1"/>
    <w:rsid w:val="00AA2445"/>
    <w:rsid w:val="00AC60B2"/>
    <w:rsid w:val="00AD3A25"/>
    <w:rsid w:val="00AF58E5"/>
    <w:rsid w:val="00B40941"/>
    <w:rsid w:val="00B457BA"/>
    <w:rsid w:val="00B63F4C"/>
    <w:rsid w:val="00B64185"/>
    <w:rsid w:val="00B724B4"/>
    <w:rsid w:val="00B7635C"/>
    <w:rsid w:val="00B81922"/>
    <w:rsid w:val="00B90C78"/>
    <w:rsid w:val="00B94687"/>
    <w:rsid w:val="00BA59CE"/>
    <w:rsid w:val="00BC016E"/>
    <w:rsid w:val="00BD4016"/>
    <w:rsid w:val="00BE2DD6"/>
    <w:rsid w:val="00BF4729"/>
    <w:rsid w:val="00C333DD"/>
    <w:rsid w:val="00C4328E"/>
    <w:rsid w:val="00C46EFB"/>
    <w:rsid w:val="00C72258"/>
    <w:rsid w:val="00C72E1E"/>
    <w:rsid w:val="00CB5C47"/>
    <w:rsid w:val="00CB5ED1"/>
    <w:rsid w:val="00CF6010"/>
    <w:rsid w:val="00D05321"/>
    <w:rsid w:val="00D05A9A"/>
    <w:rsid w:val="00D12F6B"/>
    <w:rsid w:val="00D14460"/>
    <w:rsid w:val="00D17055"/>
    <w:rsid w:val="00D300EA"/>
    <w:rsid w:val="00D5235A"/>
    <w:rsid w:val="00D6613E"/>
    <w:rsid w:val="00D753FA"/>
    <w:rsid w:val="00D80F63"/>
    <w:rsid w:val="00D821C5"/>
    <w:rsid w:val="00DD4377"/>
    <w:rsid w:val="00E329A4"/>
    <w:rsid w:val="00E47F0D"/>
    <w:rsid w:val="00E52B5E"/>
    <w:rsid w:val="00E56E44"/>
    <w:rsid w:val="00E6623C"/>
    <w:rsid w:val="00E722C0"/>
    <w:rsid w:val="00E901AB"/>
    <w:rsid w:val="00E91937"/>
    <w:rsid w:val="00E939CA"/>
    <w:rsid w:val="00EA1152"/>
    <w:rsid w:val="00EC212F"/>
    <w:rsid w:val="00ED7BD9"/>
    <w:rsid w:val="00EE1036"/>
    <w:rsid w:val="00F543E6"/>
    <w:rsid w:val="00F579FA"/>
    <w:rsid w:val="00F64F7E"/>
    <w:rsid w:val="00F6510C"/>
    <w:rsid w:val="00F7275A"/>
    <w:rsid w:val="00F80E3A"/>
    <w:rsid w:val="00F933BB"/>
    <w:rsid w:val="00FA7E5D"/>
    <w:rsid w:val="00FE02F7"/>
    <w:rsid w:val="00FE691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C551D3B-7066-4AB4-ACA6-FAD2D6D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py 11 pt,Fließtext (DACHSER)"/>
    <w:qFormat/>
    <w:rsid w:val="00D17055"/>
    <w:rPr>
      <w:rFonts w:ascii="Arial" w:eastAsiaTheme="minorEastAsia" w:hAnsi="Arial"/>
      <w:lang w:eastAsia="zh-CN"/>
    </w:rPr>
  </w:style>
  <w:style w:type="paragraph" w:styleId="Heading1">
    <w:name w:val="heading 1"/>
    <w:aliases w:val="Headline 16 pt (DACHSER)"/>
    <w:next w:val="Heading2"/>
    <w:link w:val="Heading1Char"/>
    <w:uiPriority w:val="9"/>
    <w:qFormat/>
    <w:rsid w:val="00852794"/>
    <w:pPr>
      <w:keepNext/>
      <w:keepLines/>
      <w:spacing w:after="320" w:line="360" w:lineRule="exact"/>
      <w:contextualSpacing/>
      <w:outlineLvl w:val="0"/>
    </w:pPr>
    <w:rPr>
      <w:rFonts w:ascii="Arial" w:eastAsiaTheme="majorEastAsia" w:hAnsi="Arial" w:cstheme="majorBidi"/>
      <w:b/>
      <w:sz w:val="32"/>
      <w:szCs w:val="32"/>
    </w:rPr>
  </w:style>
  <w:style w:type="paragraph" w:styleId="Heading2">
    <w:name w:val="heading 2"/>
    <w:aliases w:val="Headline 12 pt (DACHSER)"/>
    <w:next w:val="Normal"/>
    <w:link w:val="Heading2Char"/>
    <w:uiPriority w:val="9"/>
    <w:unhideWhenUsed/>
    <w:qFormat/>
    <w:rsid w:val="00852794"/>
    <w:pPr>
      <w:keepNext/>
      <w:keepLines/>
      <w:spacing w:after="240" w:line="280" w:lineRule="exact"/>
      <w:contextualSpacing/>
      <w:outlineLvl w:val="1"/>
    </w:pPr>
    <w:rPr>
      <w:rFonts w:ascii="Arial" w:eastAsiaTheme="majorEastAsia" w:hAnsi="Arial" w:cstheme="majorBidi"/>
      <w:b/>
      <w:sz w:val="24"/>
      <w:szCs w:val="26"/>
    </w:rPr>
  </w:style>
  <w:style w:type="paragraph" w:styleId="Heading3">
    <w:name w:val="heading 3"/>
    <w:next w:val="Normal"/>
    <w:link w:val="Heading3Char"/>
    <w:uiPriority w:val="9"/>
    <w:unhideWhenUsed/>
    <w:rsid w:val="00756F52"/>
    <w:pPr>
      <w:outlineLvl w:val="2"/>
    </w:pPr>
    <w:rPr>
      <w:rFonts w:ascii="Arial" w:eastAsiaTheme="majorEastAsia" w:hAnsi="Arial" w:cstheme="majorBidi"/>
      <w:b/>
      <w:sz w:val="24"/>
      <w:szCs w:val="26"/>
      <w:lang w:val="en-US"/>
    </w:rPr>
  </w:style>
  <w:style w:type="paragraph" w:styleId="Heading4">
    <w:name w:val="heading 4"/>
    <w:basedOn w:val="Heading3"/>
    <w:next w:val="Normal"/>
    <w:link w:val="Heading4Char"/>
    <w:uiPriority w:val="9"/>
    <w:unhideWhenUsed/>
    <w:rsid w:val="00B81922"/>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6 pt (DACHSER) Char"/>
    <w:basedOn w:val="DefaultParagraphFont"/>
    <w:link w:val="Heading1"/>
    <w:uiPriority w:val="9"/>
    <w:rsid w:val="00852794"/>
    <w:rPr>
      <w:rFonts w:ascii="Arial" w:eastAsiaTheme="majorEastAsia" w:hAnsi="Arial" w:cstheme="majorBidi"/>
      <w:b/>
      <w:sz w:val="32"/>
      <w:szCs w:val="32"/>
    </w:rPr>
  </w:style>
  <w:style w:type="character" w:customStyle="1" w:styleId="Heading2Char">
    <w:name w:val="Heading 2 Char"/>
    <w:aliases w:val="Headline 12 pt (DACHSER) Char"/>
    <w:basedOn w:val="DefaultParagraphFont"/>
    <w:link w:val="Heading2"/>
    <w:uiPriority w:val="9"/>
    <w:rsid w:val="00852794"/>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56F52"/>
    <w:rPr>
      <w:rFonts w:ascii="Arial" w:eastAsiaTheme="majorEastAsia" w:hAnsi="Arial" w:cstheme="majorBidi"/>
      <w:b/>
      <w:sz w:val="24"/>
      <w:szCs w:val="26"/>
      <w:lang w:val="en-US"/>
    </w:rPr>
  </w:style>
  <w:style w:type="character" w:customStyle="1" w:styleId="Heading4Char">
    <w:name w:val="Heading 4 Char"/>
    <w:basedOn w:val="DefaultParagraphFont"/>
    <w:link w:val="Heading4"/>
    <w:uiPriority w:val="9"/>
    <w:rsid w:val="00B81922"/>
    <w:rPr>
      <w:rFonts w:ascii="Arial" w:eastAsiaTheme="majorEastAsia" w:hAnsi="Arial" w:cstheme="majorBidi"/>
      <w:b/>
      <w:sz w:val="24"/>
      <w:szCs w:val="26"/>
      <w:lang w:val="en-US"/>
    </w:rPr>
  </w:style>
  <w:style w:type="paragraph" w:styleId="BalloonText">
    <w:name w:val="Balloon Text"/>
    <w:basedOn w:val="Normal"/>
    <w:link w:val="BalloonTextChar"/>
    <w:uiPriority w:val="99"/>
    <w:semiHidden/>
    <w:unhideWhenUsed/>
    <w:rsid w:val="00F6510C"/>
    <w:pPr>
      <w:spacing w:before="110"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F6510C"/>
    <w:rPr>
      <w:rFonts w:ascii="Segoe UI" w:hAnsi="Segoe UI" w:cs="Segoe UI"/>
      <w:sz w:val="18"/>
      <w:szCs w:val="18"/>
    </w:rPr>
  </w:style>
  <w:style w:type="table" w:styleId="TableGrid">
    <w:name w:val="Table Grid"/>
    <w:basedOn w:val="TableNormal"/>
    <w:uiPriority w:val="39"/>
    <w:rsid w:val="00177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aliases w:val="Caption 9 pt,Bildunterschrift (DACHSER)"/>
    <w:next w:val="Normal"/>
    <w:link w:val="SubtitleChar"/>
    <w:uiPriority w:val="11"/>
    <w:qFormat/>
    <w:rsid w:val="004F6822"/>
    <w:pPr>
      <w:keepNext/>
      <w:keepLines/>
      <w:numPr>
        <w:ilvl w:val="1"/>
      </w:numPr>
      <w:spacing w:before="90" w:after="180" w:line="260" w:lineRule="exact"/>
    </w:pPr>
    <w:rPr>
      <w:rFonts w:ascii="Arial" w:eastAsiaTheme="minorEastAsia" w:hAnsi="Arial"/>
      <w:sz w:val="18"/>
    </w:rPr>
  </w:style>
  <w:style w:type="character" w:customStyle="1" w:styleId="SubtitleChar">
    <w:name w:val="Subtitle Char"/>
    <w:aliases w:val="Caption 9 pt Char,Bildunterschrift (DACHSER) Char"/>
    <w:basedOn w:val="DefaultParagraphFont"/>
    <w:link w:val="Subtitle"/>
    <w:uiPriority w:val="11"/>
    <w:rsid w:val="004F6822"/>
    <w:rPr>
      <w:rFonts w:ascii="Arial" w:eastAsiaTheme="minorEastAsia" w:hAnsi="Arial"/>
      <w:sz w:val="18"/>
    </w:rPr>
  </w:style>
  <w:style w:type="paragraph" w:customStyle="1" w:styleId="1Aufzhlung">
    <w:name w:val="1_Aufzählung"/>
    <w:aliases w:val="1_Enumeration 11 pt (DACHSER)"/>
    <w:basedOn w:val="ListBullet"/>
    <w:qFormat/>
    <w:rsid w:val="003E494D"/>
    <w:pPr>
      <w:numPr>
        <w:numId w:val="2"/>
      </w:numPr>
      <w:spacing w:after="110"/>
      <w:ind w:left="568" w:hanging="284"/>
      <w:contextualSpacing w:val="0"/>
    </w:pPr>
  </w:style>
  <w:style w:type="paragraph" w:styleId="ListBullet">
    <w:name w:val="List Bullet"/>
    <w:basedOn w:val="Normal"/>
    <w:uiPriority w:val="99"/>
    <w:semiHidden/>
    <w:unhideWhenUsed/>
    <w:rsid w:val="00B457BA"/>
    <w:pPr>
      <w:tabs>
        <w:tab w:val="num" w:pos="360"/>
      </w:tabs>
      <w:spacing w:before="110" w:after="220" w:line="300" w:lineRule="exact"/>
      <w:ind w:left="360" w:hanging="360"/>
      <w:contextualSpacing/>
    </w:pPr>
    <w:rPr>
      <w:rFonts w:eastAsiaTheme="minorHAnsi"/>
      <w:lang w:eastAsia="en-US"/>
    </w:rPr>
  </w:style>
  <w:style w:type="paragraph" w:customStyle="1" w:styleId="2Aufzhlung">
    <w:name w:val="2_Aufzählung"/>
    <w:aliases w:val="2_Enumeration 11 pt (DACHSER)"/>
    <w:basedOn w:val="ListBullet2"/>
    <w:qFormat/>
    <w:rsid w:val="003E494D"/>
    <w:pPr>
      <w:numPr>
        <w:numId w:val="4"/>
      </w:numPr>
      <w:spacing w:after="110"/>
      <w:ind w:left="1135" w:hanging="284"/>
      <w:contextualSpacing w:val="0"/>
    </w:pPr>
  </w:style>
  <w:style w:type="paragraph" w:customStyle="1" w:styleId="3Aufzhlung">
    <w:name w:val="3_Aufzählung"/>
    <w:aliases w:val="3_Enumeration 11 pt (DACHSER)"/>
    <w:basedOn w:val="ListBullet3"/>
    <w:qFormat/>
    <w:rsid w:val="003E494D"/>
    <w:pPr>
      <w:numPr>
        <w:numId w:val="6"/>
      </w:numPr>
      <w:spacing w:after="110"/>
      <w:ind w:left="1702" w:hanging="284"/>
      <w:contextualSpacing w:val="0"/>
    </w:pPr>
  </w:style>
  <w:style w:type="paragraph" w:styleId="ListBullet2">
    <w:name w:val="List Bullet 2"/>
    <w:basedOn w:val="Normal"/>
    <w:uiPriority w:val="99"/>
    <w:semiHidden/>
    <w:unhideWhenUsed/>
    <w:rsid w:val="002F30DD"/>
    <w:pPr>
      <w:numPr>
        <w:numId w:val="3"/>
      </w:numPr>
      <w:spacing w:before="110" w:after="220" w:line="300" w:lineRule="exact"/>
      <w:contextualSpacing/>
    </w:pPr>
    <w:rPr>
      <w:rFonts w:eastAsiaTheme="minorHAnsi"/>
      <w:lang w:eastAsia="en-US"/>
    </w:rPr>
  </w:style>
  <w:style w:type="paragraph" w:customStyle="1" w:styleId="Footer6ptDACHSER">
    <w:name w:val="Footer 6 pt (DACHSER)"/>
    <w:next w:val="Normal"/>
    <w:qFormat/>
    <w:rsid w:val="0000183F"/>
    <w:pPr>
      <w:keepNext/>
      <w:keepLines/>
      <w:spacing w:before="360" w:after="120" w:line="160" w:lineRule="exact"/>
      <w:contextualSpacing/>
    </w:pPr>
    <w:rPr>
      <w:rFonts w:ascii="Arial" w:hAnsi="Arial"/>
      <w:sz w:val="12"/>
    </w:rPr>
  </w:style>
  <w:style w:type="paragraph" w:styleId="ListBullet3">
    <w:name w:val="List Bullet 3"/>
    <w:basedOn w:val="Normal"/>
    <w:uiPriority w:val="99"/>
    <w:semiHidden/>
    <w:unhideWhenUsed/>
    <w:rsid w:val="008A2C3A"/>
    <w:pPr>
      <w:numPr>
        <w:numId w:val="5"/>
      </w:numPr>
      <w:spacing w:before="110" w:after="220" w:line="300" w:lineRule="exact"/>
      <w:contextualSpacing/>
    </w:pPr>
    <w:rPr>
      <w:rFonts w:eastAsiaTheme="minorHAnsi"/>
      <w:lang w:eastAsia="en-US"/>
    </w:rPr>
  </w:style>
  <w:style w:type="paragraph" w:customStyle="1" w:styleId="PaginierungPagination11ptDACHSER">
    <w:name w:val="Paginierung/Pagination 11 pt (DACHSER)"/>
    <w:qFormat/>
    <w:rsid w:val="0000183F"/>
    <w:pPr>
      <w:spacing w:before="220" w:after="220" w:line="260" w:lineRule="exact"/>
      <w:jc w:val="center"/>
    </w:pPr>
    <w:rPr>
      <w:rFonts w:ascii="Arial" w:hAnsi="Arial"/>
    </w:rPr>
  </w:style>
  <w:style w:type="paragraph" w:styleId="Header">
    <w:name w:val="header"/>
    <w:basedOn w:val="Normal"/>
    <w:link w:val="HeaderChar"/>
    <w:uiPriority w:val="99"/>
    <w:unhideWhenUsed/>
    <w:rsid w:val="0062645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26451"/>
    <w:rPr>
      <w:rFonts w:ascii="Arial" w:hAnsi="Arial"/>
    </w:rPr>
  </w:style>
  <w:style w:type="paragraph" w:styleId="Footer">
    <w:name w:val="footer"/>
    <w:basedOn w:val="Normal"/>
    <w:link w:val="FooterChar"/>
    <w:uiPriority w:val="99"/>
    <w:unhideWhenUsed/>
    <w:rsid w:val="0062645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26451"/>
    <w:rPr>
      <w:rFonts w:ascii="Arial" w:hAnsi="Arial"/>
    </w:rPr>
  </w:style>
  <w:style w:type="table" w:styleId="LightList-Accent1">
    <w:name w:val="Light List Accent 1"/>
    <w:basedOn w:val="TableNormal"/>
    <w:uiPriority w:val="61"/>
    <w:rsid w:val="000E0CA0"/>
    <w:pPr>
      <w:spacing w:after="0" w:line="240" w:lineRule="auto"/>
    </w:pPr>
    <w:tblPr>
      <w:tblStyleRowBandSize w:val="1"/>
      <w:tblStyleColBandSize w:val="1"/>
      <w:tblInd w:w="0" w:type="dxa"/>
      <w:tblBorders>
        <w:top w:val="single" w:sz="8" w:space="0" w:color="0B3D91" w:themeColor="accent1"/>
        <w:left w:val="single" w:sz="8" w:space="0" w:color="0B3D91" w:themeColor="accent1"/>
        <w:bottom w:val="single" w:sz="8" w:space="0" w:color="0B3D91" w:themeColor="accent1"/>
        <w:right w:val="single" w:sz="8" w:space="0" w:color="0B3D91"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B3D91" w:themeFill="accent1"/>
      </w:tcPr>
    </w:tblStylePr>
    <w:tblStylePr w:type="lastRow">
      <w:pPr>
        <w:spacing w:before="0" w:after="0" w:line="240" w:lineRule="auto"/>
      </w:pPr>
      <w:rPr>
        <w:b/>
        <w:bCs/>
      </w:rPr>
      <w:tblPr/>
      <w:tcPr>
        <w:tcBorders>
          <w:top w:val="double" w:sz="6" w:space="0" w:color="0B3D91" w:themeColor="accent1"/>
          <w:left w:val="single" w:sz="8" w:space="0" w:color="0B3D91" w:themeColor="accent1"/>
          <w:bottom w:val="single" w:sz="8" w:space="0" w:color="0B3D91" w:themeColor="accent1"/>
          <w:right w:val="single" w:sz="8" w:space="0" w:color="0B3D91" w:themeColor="accent1"/>
        </w:tcBorders>
      </w:tcPr>
    </w:tblStylePr>
    <w:tblStylePr w:type="firstCol">
      <w:rPr>
        <w:b/>
        <w:bCs/>
      </w:rPr>
    </w:tblStylePr>
    <w:tblStylePr w:type="lastCol">
      <w:rPr>
        <w:b/>
        <w:bCs/>
      </w:rPr>
    </w:tblStylePr>
    <w:tblStylePr w:type="band1Vert">
      <w:tblPr/>
      <w:tcPr>
        <w:tcBorders>
          <w:top w:val="single" w:sz="8" w:space="0" w:color="0B3D91" w:themeColor="accent1"/>
          <w:left w:val="single" w:sz="8" w:space="0" w:color="0B3D91" w:themeColor="accent1"/>
          <w:bottom w:val="single" w:sz="8" w:space="0" w:color="0B3D91" w:themeColor="accent1"/>
          <w:right w:val="single" w:sz="8" w:space="0" w:color="0B3D91" w:themeColor="accent1"/>
        </w:tcBorders>
      </w:tcPr>
    </w:tblStylePr>
    <w:tblStylePr w:type="band1Horz">
      <w:tblPr/>
      <w:tcPr>
        <w:tcBorders>
          <w:top w:val="single" w:sz="8" w:space="0" w:color="0B3D91" w:themeColor="accent1"/>
          <w:left w:val="single" w:sz="8" w:space="0" w:color="0B3D91" w:themeColor="accent1"/>
          <w:bottom w:val="single" w:sz="8" w:space="0" w:color="0B3D91" w:themeColor="accent1"/>
          <w:right w:val="single" w:sz="8" w:space="0" w:color="0B3D91" w:themeColor="accent1"/>
        </w:tcBorders>
      </w:tcPr>
    </w:tblStylePr>
  </w:style>
  <w:style w:type="paragraph" w:customStyle="1" w:styleId="Tabelle">
    <w:name w:val="Tabelle"/>
    <w:aliases w:val="Chart Copy 11 pt (DACHSER)"/>
    <w:basedOn w:val="Normal"/>
    <w:rsid w:val="00AA2445"/>
    <w:pPr>
      <w:spacing w:before="110" w:after="110" w:line="300" w:lineRule="exact"/>
      <w:contextualSpacing/>
    </w:pPr>
    <w:rPr>
      <w:rFonts w:eastAsiaTheme="minorHAnsi"/>
      <w:lang w:eastAsia="en-US"/>
    </w:rPr>
  </w:style>
  <w:style w:type="paragraph" w:styleId="NoSpacing">
    <w:name w:val="No Spacing"/>
    <w:uiPriority w:val="1"/>
    <w:qFormat/>
    <w:rsid w:val="00D17055"/>
    <w:pPr>
      <w:spacing w:after="0" w:line="240" w:lineRule="auto"/>
    </w:pPr>
    <w:rPr>
      <w:rFonts w:ascii="Arial" w:eastAsiaTheme="minorEastAsia" w:hAnsi="Arial"/>
      <w:lang w:eastAsia="zh-CN"/>
    </w:rPr>
  </w:style>
  <w:style w:type="character" w:styleId="Hyperlink">
    <w:name w:val="Hyperlink"/>
    <w:basedOn w:val="DefaultParagraphFont"/>
    <w:uiPriority w:val="99"/>
    <w:unhideWhenUsed/>
    <w:rsid w:val="00EE1036"/>
    <w:rPr>
      <w:color w:val="0000FF" w:themeColor="hyperlink"/>
      <w:u w:val="single"/>
    </w:rPr>
  </w:style>
  <w:style w:type="paragraph" w:customStyle="1" w:styleId="Default">
    <w:name w:val="Default"/>
    <w:rsid w:val="00EE1036"/>
    <w:pPr>
      <w:autoSpaceDE w:val="0"/>
      <w:autoSpaceDN w:val="0"/>
      <w:adjustRightInd w:val="0"/>
      <w:spacing w:after="0" w:line="240" w:lineRule="auto"/>
    </w:pPr>
    <w:rPr>
      <w:rFonts w:ascii="Arial" w:eastAsiaTheme="minorEastAsia" w:hAnsi="Arial" w:cs="Arial"/>
      <w:color w:val="000000"/>
      <w:sz w:val="24"/>
      <w:szCs w:val="24"/>
      <w:lang w:val="nl-NL" w:eastAsia="zh-CN" w:bidi="he-IL"/>
    </w:rPr>
  </w:style>
  <w:style w:type="character" w:customStyle="1" w:styleId="shorttext">
    <w:name w:val="short_text"/>
    <w:basedOn w:val="DefaultParagraphFont"/>
    <w:rsid w:val="008C6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ert.koster@dachs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ACHSER">
      <a:dk1>
        <a:sysClr val="windowText" lastClr="000000"/>
      </a:dk1>
      <a:lt1>
        <a:sysClr val="window" lastClr="FFFFFF"/>
      </a:lt1>
      <a:dk2>
        <a:srgbClr val="1F497D"/>
      </a:dk2>
      <a:lt2>
        <a:srgbClr val="EEECE1"/>
      </a:lt2>
      <a:accent1>
        <a:srgbClr val="0B3D91"/>
      </a:accent1>
      <a:accent2>
        <a:srgbClr val="FBBA00"/>
      </a:accent2>
      <a:accent3>
        <a:srgbClr val="9EA0A3"/>
      </a:accent3>
      <a:accent4>
        <a:srgbClr val="106634"/>
      </a:accent4>
      <a:accent5>
        <a:srgbClr val="841E36"/>
      </a:accent5>
      <a:accent6>
        <a:srgbClr val="BCAF93"/>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00EB4-FAA3-49B5-88DB-72C0AC0D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7873</Characters>
  <Application>Microsoft Office Word</Application>
  <DocSecurity>0</DocSecurity>
  <Lines>65</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DACHSER Template Blanko</vt:lpstr>
      <vt:lpstr>DACHSER Template Blanko</vt:lpstr>
      <vt:lpstr>DACHSER Template Blanko</vt:lpstr>
    </vt:vector>
  </TitlesOfParts>
  <Company>DACHSER SE</Company>
  <LinksUpToDate>false</LinksUpToDate>
  <CharactersWithSpaces>9236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DACHSER Template Blanko</dc:title>
  <dc:creator>Raisa Mertens</dc:creator>
  <cp:lastModifiedBy>JOURDAN Sonia</cp:lastModifiedBy>
  <cp:revision>2</cp:revision>
  <cp:lastPrinted>2018-02-14T10:52:00Z</cp:lastPrinted>
  <dcterms:created xsi:type="dcterms:W3CDTF">2018-04-17T12:16:00Z</dcterms:created>
  <dcterms:modified xsi:type="dcterms:W3CDTF">2018-04-17T12:16:00Z</dcterms:modified>
</cp:coreProperties>
</file>