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BA085" w14:textId="77777777" w:rsidR="00672179" w:rsidRPr="00232656" w:rsidRDefault="00672179" w:rsidP="00270690">
      <w:pPr>
        <w:shd w:val="clear" w:color="auto" w:fill="FFFFFF"/>
        <w:tabs>
          <w:tab w:val="right" w:pos="8789"/>
        </w:tabs>
        <w:spacing w:before="100" w:beforeAutospacing="1" w:after="180" w:line="336" w:lineRule="atLeast"/>
        <w:outlineLvl w:val="2"/>
        <w:rPr>
          <w:rFonts w:ascii="Arial" w:eastAsia="Times New Roman" w:hAnsi="Arial" w:cs="Arial"/>
          <w:b/>
          <w:bCs/>
          <w:spacing w:val="2"/>
          <w:sz w:val="28"/>
          <w:szCs w:val="28"/>
          <w:lang w:val="de-DE"/>
        </w:rPr>
      </w:pPr>
      <w:r w:rsidRPr="00232656">
        <w:rPr>
          <w:rFonts w:ascii="Arial" w:eastAsia="Times New Roman" w:hAnsi="Arial" w:cs="Arial"/>
          <w:b/>
          <w:bCs/>
          <w:spacing w:val="2"/>
          <w:sz w:val="28"/>
          <w:szCs w:val="28"/>
          <w:lang w:val="de-DE"/>
        </w:rPr>
        <w:tab/>
      </w:r>
      <w:r w:rsidRPr="00232656">
        <w:rPr>
          <w:noProof/>
          <w:lang w:val="fr-FR" w:eastAsia="fr-FR"/>
        </w:rPr>
        <w:drawing>
          <wp:inline distT="0" distB="0" distL="0" distR="0" wp14:anchorId="3C6313D2" wp14:editId="3FFC451E">
            <wp:extent cx="1231900" cy="1231900"/>
            <wp:effectExtent l="0" t="0" r="0" b="0"/>
            <wp:docPr id="1" name="Picture 1" descr="Description: PP_orange"/>
            <wp:cNvGraphicFramePr/>
            <a:graphic xmlns:a="http://schemas.openxmlformats.org/drawingml/2006/main">
              <a:graphicData uri="http://schemas.openxmlformats.org/drawingml/2006/picture">
                <pic:pic xmlns:pic="http://schemas.openxmlformats.org/drawingml/2006/picture">
                  <pic:nvPicPr>
                    <pic:cNvPr id="1" name="Picture 1" descr="Description: PP_orange"/>
                    <pic:cNvPicPr/>
                  </pic:nvPicPr>
                  <pic:blipFill>
                    <a:blip r:embed="rId7">
                      <a:extLst>
                        <a:ext uri="{28A0092B-C50C-407E-A947-70E740481C1C}">
                          <a14:useLocalDpi xmlns:a14="http://schemas.microsoft.com/office/drawing/2010/main" val="0"/>
                        </a:ext>
                      </a:extLst>
                    </a:blip>
                    <a:srcRect l="74677"/>
                    <a:stretch>
                      <a:fillRect/>
                    </a:stretch>
                  </pic:blipFill>
                  <pic:spPr bwMode="auto">
                    <a:xfrm>
                      <a:off x="0" y="0"/>
                      <a:ext cx="1231900" cy="1231900"/>
                    </a:xfrm>
                    <a:prstGeom prst="rect">
                      <a:avLst/>
                    </a:prstGeom>
                    <a:noFill/>
                    <a:ln>
                      <a:noFill/>
                    </a:ln>
                  </pic:spPr>
                </pic:pic>
              </a:graphicData>
            </a:graphic>
          </wp:inline>
        </w:drawing>
      </w:r>
    </w:p>
    <w:p w14:paraId="5799B6A0" w14:textId="1945DD72" w:rsidR="00672179" w:rsidRPr="00232656" w:rsidRDefault="00270690" w:rsidP="00270690">
      <w:pPr>
        <w:shd w:val="clear" w:color="auto" w:fill="FFFFFF"/>
        <w:tabs>
          <w:tab w:val="right" w:pos="8789"/>
        </w:tabs>
        <w:spacing w:before="100" w:beforeAutospacing="1" w:after="180" w:line="336" w:lineRule="atLeast"/>
        <w:outlineLvl w:val="2"/>
        <w:rPr>
          <w:rFonts w:ascii="Arial" w:eastAsia="Times New Roman" w:hAnsi="Arial" w:cs="Arial"/>
          <w:b/>
          <w:bCs/>
          <w:spacing w:val="2"/>
          <w:sz w:val="28"/>
          <w:szCs w:val="28"/>
          <w:lang w:val="de-DE"/>
        </w:rPr>
      </w:pPr>
      <w:r w:rsidRPr="00232656">
        <w:rPr>
          <w:rFonts w:ascii="Arial" w:eastAsia="Times New Roman" w:hAnsi="Arial" w:cs="Arial"/>
          <w:b/>
          <w:bCs/>
          <w:spacing w:val="2"/>
          <w:sz w:val="28"/>
          <w:szCs w:val="28"/>
          <w:lang w:val="de-DE"/>
        </w:rPr>
        <w:t>Press</w:t>
      </w:r>
      <w:r w:rsidR="000478B7">
        <w:rPr>
          <w:rFonts w:ascii="Arial" w:eastAsia="Times New Roman" w:hAnsi="Arial" w:cs="Arial"/>
          <w:b/>
          <w:bCs/>
          <w:spacing w:val="2"/>
          <w:sz w:val="28"/>
          <w:szCs w:val="28"/>
          <w:lang w:val="de-DE"/>
        </w:rPr>
        <w:t>emitteilung</w:t>
      </w:r>
    </w:p>
    <w:p w14:paraId="3F000DB0" w14:textId="4233386C" w:rsidR="00672179" w:rsidRPr="00232656" w:rsidRDefault="00672179" w:rsidP="00270690">
      <w:pPr>
        <w:shd w:val="clear" w:color="auto" w:fill="FFFFFF"/>
        <w:tabs>
          <w:tab w:val="right" w:pos="8789"/>
        </w:tabs>
        <w:spacing w:before="100" w:beforeAutospacing="1" w:after="180" w:line="336" w:lineRule="atLeast"/>
        <w:outlineLvl w:val="2"/>
        <w:rPr>
          <w:rFonts w:ascii="Helvetica Neue" w:eastAsia="Times New Roman" w:hAnsi="Helvetica Neue" w:cs="Arial"/>
          <w:b/>
          <w:bCs/>
          <w:spacing w:val="2"/>
          <w:sz w:val="28"/>
          <w:szCs w:val="28"/>
          <w:lang w:val="de-DE"/>
        </w:rPr>
      </w:pPr>
      <w:r w:rsidRPr="00232656">
        <w:rPr>
          <w:rFonts w:ascii="Arial" w:eastAsia="Times New Roman" w:hAnsi="Arial" w:cs="Arial"/>
          <w:b/>
          <w:bCs/>
          <w:spacing w:val="2"/>
          <w:sz w:val="28"/>
          <w:szCs w:val="28"/>
          <w:lang w:val="de-DE"/>
        </w:rPr>
        <w:t xml:space="preserve">Embargo </w:t>
      </w:r>
      <w:r w:rsidR="000478B7">
        <w:rPr>
          <w:rFonts w:ascii="Arial" w:eastAsia="Times New Roman" w:hAnsi="Arial" w:cs="Arial"/>
          <w:b/>
          <w:bCs/>
          <w:spacing w:val="2"/>
          <w:sz w:val="28"/>
          <w:szCs w:val="28"/>
          <w:lang w:val="de-DE"/>
        </w:rPr>
        <w:t xml:space="preserve">27. </w:t>
      </w:r>
      <w:r w:rsidRPr="00232656">
        <w:rPr>
          <w:rFonts w:ascii="Arial" w:eastAsia="Times New Roman" w:hAnsi="Arial" w:cs="Arial"/>
          <w:b/>
          <w:bCs/>
          <w:spacing w:val="2"/>
          <w:sz w:val="28"/>
          <w:szCs w:val="28"/>
          <w:lang w:val="de-DE"/>
        </w:rPr>
        <w:t>Februar</w:t>
      </w:r>
      <w:r w:rsidR="000478B7">
        <w:rPr>
          <w:rFonts w:ascii="Arial" w:eastAsia="Times New Roman" w:hAnsi="Arial" w:cs="Arial"/>
          <w:b/>
          <w:bCs/>
          <w:spacing w:val="2"/>
          <w:sz w:val="28"/>
          <w:szCs w:val="28"/>
          <w:lang w:val="de-DE"/>
        </w:rPr>
        <w:t xml:space="preserve">, </w:t>
      </w:r>
      <w:r w:rsidR="00B6213C" w:rsidRPr="00232656">
        <w:rPr>
          <w:rFonts w:ascii="Arial" w:eastAsia="Times New Roman" w:hAnsi="Arial" w:cs="Arial"/>
          <w:b/>
          <w:bCs/>
          <w:spacing w:val="2"/>
          <w:sz w:val="28"/>
          <w:szCs w:val="28"/>
          <w:lang w:val="de-DE"/>
        </w:rPr>
        <w:t>07h</w:t>
      </w:r>
      <w:r w:rsidRPr="00232656">
        <w:rPr>
          <w:rFonts w:ascii="Arial" w:eastAsia="Times New Roman" w:hAnsi="Arial" w:cs="Arial"/>
          <w:b/>
          <w:bCs/>
          <w:spacing w:val="2"/>
          <w:sz w:val="28"/>
          <w:szCs w:val="28"/>
          <w:lang w:val="de-DE"/>
        </w:rPr>
        <w:t xml:space="preserve">00                                 </w:t>
      </w:r>
      <w:r w:rsidR="009837D9" w:rsidRPr="00232656">
        <w:rPr>
          <w:rFonts w:ascii="Helvetica Neue" w:eastAsia="Times New Roman" w:hAnsi="Helvetica Neue" w:cs="Arial"/>
          <w:b/>
          <w:bCs/>
          <w:spacing w:val="2"/>
          <w:sz w:val="28"/>
          <w:szCs w:val="28"/>
          <w:lang w:val="de-DE"/>
        </w:rPr>
        <w:tab/>
      </w:r>
    </w:p>
    <w:p w14:paraId="0019F28E" w14:textId="3BA7FB90" w:rsidR="009837D9" w:rsidRPr="00232656" w:rsidRDefault="00672179" w:rsidP="00270690">
      <w:pPr>
        <w:shd w:val="clear" w:color="auto" w:fill="FFFFFF"/>
        <w:tabs>
          <w:tab w:val="right" w:pos="8789"/>
        </w:tabs>
        <w:spacing w:before="100" w:beforeAutospacing="1" w:after="180" w:line="336" w:lineRule="atLeast"/>
        <w:outlineLvl w:val="2"/>
        <w:rPr>
          <w:rFonts w:ascii="Helvetica Neue" w:eastAsia="Times New Roman" w:hAnsi="Helvetica Neue" w:cs="Arial"/>
          <w:b/>
          <w:bCs/>
          <w:spacing w:val="2"/>
          <w:sz w:val="28"/>
          <w:szCs w:val="28"/>
          <w:lang w:val="de-DE"/>
        </w:rPr>
      </w:pPr>
      <w:r w:rsidRPr="00232656">
        <w:rPr>
          <w:rFonts w:ascii="Helvetica Neue" w:eastAsia="Times New Roman" w:hAnsi="Helvetica Neue" w:cs="Arial"/>
          <w:b/>
          <w:bCs/>
          <w:spacing w:val="2"/>
          <w:sz w:val="28"/>
          <w:szCs w:val="28"/>
          <w:lang w:val="de-DE"/>
        </w:rPr>
        <w:tab/>
      </w:r>
      <w:r w:rsidR="00DF1464" w:rsidRPr="00232656">
        <w:rPr>
          <w:rFonts w:ascii="Helvetica Neue" w:eastAsia="Times New Roman" w:hAnsi="Helvetica Neue" w:cs="Arial"/>
          <w:bCs/>
          <w:spacing w:val="2"/>
          <w:sz w:val="23"/>
          <w:szCs w:val="23"/>
          <w:lang w:val="de-DE"/>
        </w:rPr>
        <w:t xml:space="preserve">Bertrange, </w:t>
      </w:r>
      <w:r w:rsidR="000478B7">
        <w:rPr>
          <w:rFonts w:ascii="Helvetica Neue" w:eastAsia="Times New Roman" w:hAnsi="Helvetica Neue" w:cs="Arial"/>
          <w:bCs/>
          <w:spacing w:val="2"/>
          <w:sz w:val="23"/>
          <w:szCs w:val="23"/>
          <w:lang w:val="de-DE"/>
        </w:rPr>
        <w:t xml:space="preserve">den </w:t>
      </w:r>
      <w:r w:rsidRPr="00232656">
        <w:rPr>
          <w:rFonts w:ascii="Helvetica Neue" w:eastAsia="Times New Roman" w:hAnsi="Helvetica Neue" w:cs="Arial"/>
          <w:bCs/>
          <w:spacing w:val="2"/>
          <w:sz w:val="23"/>
          <w:szCs w:val="23"/>
          <w:lang w:val="de-DE"/>
        </w:rPr>
        <w:t>2</w:t>
      </w:r>
      <w:r w:rsidR="000478B7">
        <w:rPr>
          <w:rFonts w:ascii="Helvetica Neue" w:eastAsia="Times New Roman" w:hAnsi="Helvetica Neue" w:cs="Arial"/>
          <w:bCs/>
          <w:spacing w:val="2"/>
          <w:sz w:val="23"/>
          <w:szCs w:val="23"/>
          <w:lang w:val="de-DE"/>
        </w:rPr>
        <w:t>7. Februar</w:t>
      </w:r>
      <w:r w:rsidRPr="00232656">
        <w:rPr>
          <w:rFonts w:ascii="Helvetica Neue" w:eastAsia="Times New Roman" w:hAnsi="Helvetica Neue" w:cs="Arial"/>
          <w:bCs/>
          <w:spacing w:val="2"/>
          <w:sz w:val="23"/>
          <w:szCs w:val="23"/>
          <w:lang w:val="de-DE"/>
        </w:rPr>
        <w:t xml:space="preserve"> 2014</w:t>
      </w:r>
    </w:p>
    <w:p w14:paraId="7E7AEE59" w14:textId="77777777" w:rsidR="00E8191C" w:rsidRPr="00232656" w:rsidRDefault="00E8191C" w:rsidP="00521350">
      <w:pPr>
        <w:rPr>
          <w:rFonts w:ascii="HelveticaNeueLT Std" w:hAnsi="HelveticaNeueLT Std" w:cs="Arial"/>
          <w:b/>
          <w:color w:val="FF6600"/>
          <w:sz w:val="32"/>
          <w:lang w:val="de-DE"/>
        </w:rPr>
      </w:pPr>
    </w:p>
    <w:p w14:paraId="4D16D873" w14:textId="77DB9E43" w:rsidR="009C7226" w:rsidRPr="00232656" w:rsidRDefault="00DF1464" w:rsidP="00521350">
      <w:pPr>
        <w:rPr>
          <w:rFonts w:ascii="HelveticaNeueLT Std" w:hAnsi="HelveticaNeueLT Std" w:cs="Arial"/>
          <w:b/>
          <w:color w:val="FF6600"/>
          <w:sz w:val="32"/>
          <w:lang w:val="de-DE"/>
        </w:rPr>
      </w:pPr>
      <w:r w:rsidRPr="00232656">
        <w:rPr>
          <w:rFonts w:ascii="HelveticaNeueLT Std" w:hAnsi="HelveticaNeueLT Std" w:cs="Arial"/>
          <w:b/>
          <w:color w:val="FF6600"/>
          <w:sz w:val="32"/>
          <w:lang w:val="de-DE"/>
        </w:rPr>
        <w:t xml:space="preserve">Orange Luxembourg </w:t>
      </w:r>
      <w:r w:rsidR="000478B7">
        <w:rPr>
          <w:rFonts w:ascii="HelveticaNeueLT Std" w:hAnsi="HelveticaNeueLT Std" w:cs="Arial"/>
          <w:b/>
          <w:color w:val="FF6600"/>
          <w:sz w:val="32"/>
          <w:lang w:val="de-DE"/>
        </w:rPr>
        <w:t>steigert seinen Gewinn im Hinblick auf beschleunigte Investitionen in Luxemb</w:t>
      </w:r>
      <w:r w:rsidR="00672179" w:rsidRPr="00232656">
        <w:rPr>
          <w:rFonts w:ascii="HelveticaNeueLT Std" w:hAnsi="HelveticaNeueLT Std" w:cs="Arial"/>
          <w:b/>
          <w:color w:val="FF6600"/>
          <w:sz w:val="32"/>
          <w:lang w:val="de-DE"/>
        </w:rPr>
        <w:t xml:space="preserve">urg </w:t>
      </w:r>
      <w:r w:rsidRPr="00232656">
        <w:rPr>
          <w:rFonts w:ascii="HelveticaNeueLT Std" w:hAnsi="HelveticaNeueLT Std" w:cs="Arial"/>
          <w:b/>
          <w:color w:val="FF6600"/>
          <w:sz w:val="32"/>
          <w:lang w:val="de-DE"/>
        </w:rPr>
        <w:t xml:space="preserve"> </w:t>
      </w:r>
    </w:p>
    <w:p w14:paraId="007A8EAB" w14:textId="603F30A2" w:rsidR="00DF1464" w:rsidRPr="00232656" w:rsidRDefault="00DF1464" w:rsidP="00521350">
      <w:pPr>
        <w:jc w:val="both"/>
        <w:rPr>
          <w:rFonts w:ascii="HelveticaNeueLT Std" w:hAnsi="HelveticaNeueLT Std" w:cs="Arial"/>
          <w:b/>
          <w:lang w:val="de-DE"/>
        </w:rPr>
      </w:pPr>
      <w:r w:rsidRPr="00232656">
        <w:rPr>
          <w:rFonts w:ascii="HelveticaNeueLT Std" w:hAnsi="HelveticaNeueLT Std" w:cs="Arial"/>
          <w:b/>
          <w:lang w:val="de-DE"/>
        </w:rPr>
        <w:t xml:space="preserve">Orange Luxembourg </w:t>
      </w:r>
      <w:r w:rsidR="000478B7">
        <w:rPr>
          <w:rFonts w:ascii="HelveticaNeueLT Std" w:hAnsi="HelveticaNeueLT Std" w:cs="Arial"/>
          <w:b/>
          <w:lang w:val="de-DE"/>
        </w:rPr>
        <w:t xml:space="preserve">konsolidiert seinen Kundenstamm und seine Entwicklung in Luxemburg, nicht zuletzt durch günstige </w:t>
      </w:r>
      <w:proofErr w:type="spellStart"/>
      <w:r w:rsidR="000478B7">
        <w:rPr>
          <w:rFonts w:ascii="HelveticaNeueLT Std" w:hAnsi="HelveticaNeueLT Std" w:cs="Arial"/>
          <w:b/>
          <w:lang w:val="de-DE"/>
        </w:rPr>
        <w:t>Roamingangebote</w:t>
      </w:r>
      <w:proofErr w:type="spellEnd"/>
      <w:r w:rsidR="000478B7">
        <w:rPr>
          <w:rFonts w:ascii="HelveticaNeueLT Std" w:hAnsi="HelveticaNeueLT Std" w:cs="Arial"/>
          <w:b/>
          <w:lang w:val="de-DE"/>
        </w:rPr>
        <w:t xml:space="preserve"> für seine Kunden. </w:t>
      </w:r>
    </w:p>
    <w:p w14:paraId="78BFF642" w14:textId="3171D443" w:rsidR="00672179" w:rsidRPr="00232656" w:rsidRDefault="000478B7" w:rsidP="00672179">
      <w:pPr>
        <w:pStyle w:val="BodyTextIndent"/>
        <w:jc w:val="both"/>
        <w:rPr>
          <w:rFonts w:ascii="Helvetica 55 Roman" w:hAnsi="Helvetica 55 Roman" w:cs="Times New Roman"/>
          <w:bCs/>
          <w:i w:val="0"/>
          <w:iCs w:val="0"/>
          <w:sz w:val="22"/>
          <w:szCs w:val="22"/>
          <w:lang w:val="de-DE" w:eastAsia="en-US"/>
        </w:rPr>
      </w:pPr>
      <w:r>
        <w:rPr>
          <w:rFonts w:ascii="Helvetica 55 Roman" w:hAnsi="Helvetica 55 Roman" w:cs="Times New Roman"/>
          <w:bCs/>
          <w:i w:val="0"/>
          <w:iCs w:val="0"/>
          <w:sz w:val="22"/>
          <w:szCs w:val="22"/>
          <w:lang w:val="de-DE" w:eastAsia="en-US"/>
        </w:rPr>
        <w:t xml:space="preserve">Der Markt für mobile Telefonie war starkem Konkurrenzdruck ausgesetzt. In punkto Marktanteil steht </w:t>
      </w:r>
      <w:r w:rsidR="00672179" w:rsidRPr="00232656">
        <w:rPr>
          <w:rFonts w:ascii="Helvetica 55 Roman" w:hAnsi="Helvetica 55 Roman" w:cs="Times New Roman"/>
          <w:bCs/>
          <w:i w:val="0"/>
          <w:iCs w:val="0"/>
          <w:sz w:val="22"/>
          <w:szCs w:val="22"/>
          <w:lang w:val="de-DE" w:eastAsia="en-US"/>
        </w:rPr>
        <w:t>Orange Co</w:t>
      </w:r>
      <w:r w:rsidR="00236C11" w:rsidRPr="00232656">
        <w:rPr>
          <w:rFonts w:ascii="Helvetica 55 Roman" w:hAnsi="Helvetica 55 Roman" w:cs="Times New Roman"/>
          <w:bCs/>
          <w:i w:val="0"/>
          <w:iCs w:val="0"/>
          <w:sz w:val="22"/>
          <w:szCs w:val="22"/>
          <w:lang w:val="de-DE" w:eastAsia="en-US"/>
        </w:rPr>
        <w:t xml:space="preserve">mmunications Luxembourg </w:t>
      </w:r>
      <w:r>
        <w:rPr>
          <w:rFonts w:ascii="Helvetica 55 Roman" w:hAnsi="Helvetica 55 Roman" w:cs="Times New Roman"/>
          <w:bCs/>
          <w:i w:val="0"/>
          <w:iCs w:val="0"/>
          <w:sz w:val="22"/>
          <w:szCs w:val="22"/>
          <w:lang w:val="de-DE" w:eastAsia="en-US"/>
        </w:rPr>
        <w:t>an dritter Stelle.</w:t>
      </w:r>
    </w:p>
    <w:p w14:paraId="77572E65" w14:textId="77777777" w:rsidR="00521350" w:rsidRPr="00232656" w:rsidRDefault="00521350" w:rsidP="00DF1464">
      <w:pPr>
        <w:jc w:val="both"/>
        <w:rPr>
          <w:rFonts w:ascii="Helvetica 55 Roman" w:hAnsi="Helvetica 55 Roman"/>
          <w:lang w:val="de-DE"/>
        </w:rPr>
      </w:pPr>
    </w:p>
    <w:p w14:paraId="669BDE23" w14:textId="309C0FCE" w:rsidR="00672179" w:rsidRPr="00232656" w:rsidRDefault="000478B7" w:rsidP="00672179">
      <w:pPr>
        <w:pStyle w:val="BodyTextIndent"/>
        <w:jc w:val="both"/>
        <w:rPr>
          <w:rFonts w:ascii="Helvetica 55 Roman" w:hAnsi="Helvetica 55 Roman" w:cs="Times New Roman"/>
          <w:bCs/>
          <w:i w:val="0"/>
          <w:iCs w:val="0"/>
          <w:sz w:val="22"/>
          <w:szCs w:val="22"/>
          <w:lang w:val="de-DE" w:eastAsia="en-US"/>
        </w:rPr>
      </w:pPr>
      <w:r>
        <w:rPr>
          <w:rFonts w:ascii="Helvetica 55 Roman" w:hAnsi="Helvetica 55 Roman" w:cs="Times New Roman"/>
          <w:bCs/>
          <w:i w:val="0"/>
          <w:iCs w:val="0"/>
          <w:sz w:val="22"/>
          <w:szCs w:val="22"/>
          <w:lang w:val="de-DE" w:eastAsia="en-US"/>
        </w:rPr>
        <w:t xml:space="preserve">Der </w:t>
      </w:r>
      <w:proofErr w:type="spellStart"/>
      <w:r>
        <w:rPr>
          <w:rFonts w:ascii="Helvetica 55 Roman" w:hAnsi="Helvetica 55 Roman" w:cs="Times New Roman"/>
          <w:bCs/>
          <w:i w:val="0"/>
          <w:iCs w:val="0"/>
          <w:sz w:val="22"/>
          <w:szCs w:val="22"/>
          <w:lang w:val="de-DE" w:eastAsia="en-US"/>
        </w:rPr>
        <w:t>Gesmatumsatz</w:t>
      </w:r>
      <w:proofErr w:type="spellEnd"/>
      <w:r>
        <w:rPr>
          <w:rFonts w:ascii="Helvetica 55 Roman" w:hAnsi="Helvetica 55 Roman" w:cs="Times New Roman"/>
          <w:bCs/>
          <w:i w:val="0"/>
          <w:iCs w:val="0"/>
          <w:sz w:val="22"/>
          <w:szCs w:val="22"/>
          <w:lang w:val="de-DE" w:eastAsia="en-US"/>
        </w:rPr>
        <w:t xml:space="preserve"> belief sich Ende 2013 auf 75,6 M</w:t>
      </w:r>
      <w:r w:rsidR="00672179" w:rsidRPr="00232656">
        <w:rPr>
          <w:rFonts w:ascii="Helvetica 55 Roman" w:hAnsi="Helvetica 55 Roman" w:cs="Times New Roman"/>
          <w:bCs/>
          <w:i w:val="0"/>
          <w:iCs w:val="0"/>
          <w:sz w:val="22"/>
          <w:szCs w:val="22"/>
          <w:lang w:val="de-DE" w:eastAsia="en-US"/>
        </w:rPr>
        <w:t>illion</w:t>
      </w:r>
      <w:r>
        <w:rPr>
          <w:rFonts w:ascii="Helvetica 55 Roman" w:hAnsi="Helvetica 55 Roman" w:cs="Times New Roman"/>
          <w:bCs/>
          <w:i w:val="0"/>
          <w:iCs w:val="0"/>
          <w:sz w:val="22"/>
          <w:szCs w:val="22"/>
          <w:lang w:val="de-DE" w:eastAsia="en-US"/>
        </w:rPr>
        <w:t>en Euro, eine St</w:t>
      </w:r>
      <w:r w:rsidR="006B380A">
        <w:rPr>
          <w:rFonts w:ascii="Helvetica 55 Roman" w:hAnsi="Helvetica 55 Roman" w:cs="Times New Roman"/>
          <w:bCs/>
          <w:i w:val="0"/>
          <w:iCs w:val="0"/>
          <w:sz w:val="22"/>
          <w:szCs w:val="22"/>
          <w:lang w:val="de-DE" w:eastAsia="en-US"/>
        </w:rPr>
        <w:t>e</w:t>
      </w:r>
      <w:r>
        <w:rPr>
          <w:rFonts w:ascii="Helvetica 55 Roman" w:hAnsi="Helvetica 55 Roman" w:cs="Times New Roman"/>
          <w:bCs/>
          <w:i w:val="0"/>
          <w:iCs w:val="0"/>
          <w:sz w:val="22"/>
          <w:szCs w:val="22"/>
          <w:lang w:val="de-DE" w:eastAsia="en-US"/>
        </w:rPr>
        <w:t>igerung von 0.1 % gegenüber den 75,5 M</w:t>
      </w:r>
      <w:r w:rsidR="00672179" w:rsidRPr="00232656">
        <w:rPr>
          <w:rFonts w:ascii="Helvetica 55 Roman" w:hAnsi="Helvetica 55 Roman" w:cs="Times New Roman"/>
          <w:bCs/>
          <w:i w:val="0"/>
          <w:iCs w:val="0"/>
          <w:sz w:val="22"/>
          <w:szCs w:val="22"/>
          <w:lang w:val="de-DE" w:eastAsia="en-US"/>
        </w:rPr>
        <w:t>illion</w:t>
      </w:r>
      <w:r>
        <w:rPr>
          <w:rFonts w:ascii="Helvetica 55 Roman" w:hAnsi="Helvetica 55 Roman" w:cs="Times New Roman"/>
          <w:bCs/>
          <w:i w:val="0"/>
          <w:iCs w:val="0"/>
          <w:sz w:val="22"/>
          <w:szCs w:val="22"/>
          <w:lang w:val="de-DE" w:eastAsia="en-US"/>
        </w:rPr>
        <w:t>en E</w:t>
      </w:r>
      <w:r w:rsidR="00672179" w:rsidRPr="00232656">
        <w:rPr>
          <w:rFonts w:ascii="Helvetica 55 Roman" w:hAnsi="Helvetica 55 Roman" w:cs="Times New Roman"/>
          <w:bCs/>
          <w:i w:val="0"/>
          <w:iCs w:val="0"/>
          <w:sz w:val="22"/>
          <w:szCs w:val="22"/>
          <w:lang w:val="de-DE" w:eastAsia="en-US"/>
        </w:rPr>
        <w:t xml:space="preserve">uro </w:t>
      </w:r>
      <w:r>
        <w:rPr>
          <w:rFonts w:ascii="Helvetica 55 Roman" w:hAnsi="Helvetica 55 Roman" w:cs="Times New Roman"/>
          <w:bCs/>
          <w:i w:val="0"/>
          <w:iCs w:val="0"/>
          <w:sz w:val="22"/>
          <w:szCs w:val="22"/>
          <w:lang w:val="de-DE" w:eastAsia="en-US"/>
        </w:rPr>
        <w:t>von</w:t>
      </w:r>
      <w:r w:rsidR="00672179" w:rsidRPr="00232656">
        <w:rPr>
          <w:rFonts w:ascii="Helvetica 55 Roman" w:hAnsi="Helvetica 55 Roman" w:cs="Times New Roman"/>
          <w:bCs/>
          <w:i w:val="0"/>
          <w:iCs w:val="0"/>
          <w:sz w:val="22"/>
          <w:szCs w:val="22"/>
          <w:lang w:val="de-DE" w:eastAsia="en-US"/>
        </w:rPr>
        <w:t xml:space="preserve"> 2012. </w:t>
      </w:r>
      <w:r>
        <w:rPr>
          <w:rFonts w:ascii="Helvetica 55 Roman" w:hAnsi="Helvetica 55 Roman" w:cs="Times New Roman"/>
          <w:bCs/>
          <w:i w:val="0"/>
          <w:iCs w:val="0"/>
          <w:sz w:val="22"/>
          <w:szCs w:val="22"/>
          <w:lang w:val="de-DE" w:eastAsia="en-US"/>
        </w:rPr>
        <w:t xml:space="preserve">Rechnet man den Impact der </w:t>
      </w:r>
      <w:proofErr w:type="spellStart"/>
      <w:r>
        <w:rPr>
          <w:rFonts w:ascii="Helvetica 55 Roman" w:hAnsi="Helvetica 55 Roman" w:cs="Times New Roman"/>
          <w:bCs/>
          <w:i w:val="0"/>
          <w:iCs w:val="0"/>
          <w:sz w:val="22"/>
          <w:szCs w:val="22"/>
          <w:lang w:val="de-DE" w:eastAsia="en-US"/>
        </w:rPr>
        <w:t>Roaming</w:t>
      </w:r>
      <w:r w:rsidR="007B6F56">
        <w:rPr>
          <w:rFonts w:ascii="Helvetica 55 Roman" w:hAnsi="Helvetica 55 Roman" w:cs="Times New Roman"/>
          <w:bCs/>
          <w:i w:val="0"/>
          <w:iCs w:val="0"/>
          <w:sz w:val="22"/>
          <w:szCs w:val="22"/>
          <w:lang w:val="de-DE" w:eastAsia="en-US"/>
        </w:rPr>
        <w:t>abgleichzahlungen</w:t>
      </w:r>
      <w:proofErr w:type="spellEnd"/>
      <w:r>
        <w:rPr>
          <w:rFonts w:ascii="Helvetica 55 Roman" w:hAnsi="Helvetica 55 Roman" w:cs="Times New Roman"/>
          <w:bCs/>
          <w:i w:val="0"/>
          <w:iCs w:val="0"/>
          <w:sz w:val="22"/>
          <w:szCs w:val="22"/>
          <w:lang w:val="de-DE" w:eastAsia="en-US"/>
        </w:rPr>
        <w:t xml:space="preserve"> von 0,75 M</w:t>
      </w:r>
      <w:r w:rsidR="00672179" w:rsidRPr="00232656">
        <w:rPr>
          <w:rFonts w:ascii="Helvetica 55 Roman" w:hAnsi="Helvetica 55 Roman" w:cs="Times New Roman"/>
          <w:bCs/>
          <w:i w:val="0"/>
          <w:iCs w:val="0"/>
          <w:sz w:val="22"/>
          <w:szCs w:val="22"/>
          <w:lang w:val="de-DE" w:eastAsia="en-US"/>
        </w:rPr>
        <w:t>illion</w:t>
      </w:r>
      <w:r>
        <w:rPr>
          <w:rFonts w:ascii="Helvetica 55 Roman" w:hAnsi="Helvetica 55 Roman" w:cs="Times New Roman"/>
          <w:bCs/>
          <w:i w:val="0"/>
          <w:iCs w:val="0"/>
          <w:sz w:val="22"/>
          <w:szCs w:val="22"/>
          <w:lang w:val="de-DE" w:eastAsia="en-US"/>
        </w:rPr>
        <w:t xml:space="preserve">en Euro heraus, </w:t>
      </w:r>
      <w:r w:rsidR="00B5641E">
        <w:rPr>
          <w:rFonts w:ascii="Helvetica 55 Roman" w:hAnsi="Helvetica 55 Roman" w:cs="Times New Roman"/>
          <w:bCs/>
          <w:i w:val="0"/>
          <w:iCs w:val="0"/>
          <w:sz w:val="22"/>
          <w:szCs w:val="22"/>
          <w:lang w:val="de-DE" w:eastAsia="en-US"/>
        </w:rPr>
        <w:t xml:space="preserve">betrüge der Gesamtumsatz </w:t>
      </w:r>
      <w:r w:rsidR="00672179" w:rsidRPr="00232656">
        <w:rPr>
          <w:rFonts w:ascii="Helvetica 55 Roman" w:hAnsi="Helvetica 55 Roman" w:cs="Times New Roman"/>
          <w:bCs/>
          <w:i w:val="0"/>
          <w:iCs w:val="0"/>
          <w:sz w:val="22"/>
          <w:szCs w:val="22"/>
          <w:lang w:val="de-DE" w:eastAsia="en-US"/>
        </w:rPr>
        <w:t>76</w:t>
      </w:r>
      <w:r w:rsidR="00B5641E">
        <w:rPr>
          <w:rFonts w:ascii="Helvetica 55 Roman" w:hAnsi="Helvetica 55 Roman" w:cs="Times New Roman"/>
          <w:bCs/>
          <w:i w:val="0"/>
          <w:iCs w:val="0"/>
          <w:sz w:val="22"/>
          <w:szCs w:val="22"/>
          <w:lang w:val="de-DE" w:eastAsia="en-US"/>
        </w:rPr>
        <w:t>,4 M</w:t>
      </w:r>
      <w:r w:rsidR="00672179" w:rsidRPr="00232656">
        <w:rPr>
          <w:rFonts w:ascii="Helvetica 55 Roman" w:hAnsi="Helvetica 55 Roman" w:cs="Times New Roman"/>
          <w:bCs/>
          <w:i w:val="0"/>
          <w:iCs w:val="0"/>
          <w:sz w:val="22"/>
          <w:szCs w:val="22"/>
          <w:lang w:val="de-DE" w:eastAsia="en-US"/>
        </w:rPr>
        <w:t>illion</w:t>
      </w:r>
      <w:r w:rsidR="00B5641E">
        <w:rPr>
          <w:rFonts w:ascii="Helvetica 55 Roman" w:hAnsi="Helvetica 55 Roman" w:cs="Times New Roman"/>
          <w:bCs/>
          <w:i w:val="0"/>
          <w:iCs w:val="0"/>
          <w:sz w:val="22"/>
          <w:szCs w:val="22"/>
          <w:lang w:val="de-DE" w:eastAsia="en-US"/>
        </w:rPr>
        <w:t>en E</w:t>
      </w:r>
      <w:r w:rsidR="00672179" w:rsidRPr="00232656">
        <w:rPr>
          <w:rFonts w:ascii="Helvetica 55 Roman" w:hAnsi="Helvetica 55 Roman" w:cs="Times New Roman"/>
          <w:bCs/>
          <w:i w:val="0"/>
          <w:iCs w:val="0"/>
          <w:sz w:val="22"/>
          <w:szCs w:val="22"/>
          <w:lang w:val="de-DE" w:eastAsia="en-US"/>
        </w:rPr>
        <w:t xml:space="preserve">uro, </w:t>
      </w:r>
      <w:r w:rsidR="00B5641E">
        <w:rPr>
          <w:rFonts w:ascii="Helvetica 55 Roman" w:hAnsi="Helvetica 55 Roman" w:cs="Times New Roman"/>
          <w:bCs/>
          <w:i w:val="0"/>
          <w:iCs w:val="0"/>
          <w:sz w:val="22"/>
          <w:szCs w:val="22"/>
          <w:lang w:val="de-DE" w:eastAsia="en-US"/>
        </w:rPr>
        <w:t>eine Steigerung von</w:t>
      </w:r>
      <w:r w:rsidR="00672179" w:rsidRPr="00232656">
        <w:rPr>
          <w:rFonts w:ascii="Helvetica 55 Roman" w:hAnsi="Helvetica 55 Roman" w:cs="Times New Roman"/>
          <w:bCs/>
          <w:i w:val="0"/>
          <w:iCs w:val="0"/>
          <w:sz w:val="22"/>
          <w:szCs w:val="22"/>
          <w:lang w:val="de-DE" w:eastAsia="en-US"/>
        </w:rPr>
        <w:t xml:space="preserve"> 1.1 %.</w:t>
      </w:r>
    </w:p>
    <w:p w14:paraId="04A5D1E4" w14:textId="77777777" w:rsidR="00672179" w:rsidRPr="00232656" w:rsidRDefault="00672179" w:rsidP="00672179">
      <w:pPr>
        <w:jc w:val="both"/>
        <w:rPr>
          <w:rFonts w:ascii="Helvetica 55 Roman" w:hAnsi="Helvetica 55 Roman"/>
          <w:lang w:val="de-DE"/>
        </w:rPr>
      </w:pPr>
    </w:p>
    <w:p w14:paraId="6871BDE4" w14:textId="2FC6B5E3" w:rsidR="00672179" w:rsidRPr="00232656" w:rsidRDefault="00B5641E" w:rsidP="00672179">
      <w:pPr>
        <w:jc w:val="both"/>
        <w:rPr>
          <w:rFonts w:ascii="Helvetica 55 Roman" w:hAnsi="Helvetica 55 Roman"/>
          <w:lang w:val="de-DE"/>
        </w:rPr>
      </w:pPr>
      <w:r>
        <w:rPr>
          <w:rFonts w:ascii="Helvetica 55 Roman" w:hAnsi="Helvetica 55 Roman"/>
          <w:lang w:val="de-DE"/>
        </w:rPr>
        <w:t>Das</w:t>
      </w:r>
      <w:r w:rsidR="00672179" w:rsidRPr="00232656">
        <w:rPr>
          <w:rFonts w:ascii="Helvetica 55 Roman" w:hAnsi="Helvetica 55 Roman"/>
          <w:lang w:val="de-DE"/>
        </w:rPr>
        <w:t xml:space="preserve"> EBITDA </w:t>
      </w:r>
      <w:r>
        <w:rPr>
          <w:rFonts w:ascii="Helvetica 55 Roman" w:hAnsi="Helvetica 55 Roman"/>
          <w:lang w:val="de-DE"/>
        </w:rPr>
        <w:t>von</w:t>
      </w:r>
      <w:r w:rsidR="00672179" w:rsidRPr="00232656">
        <w:rPr>
          <w:rFonts w:ascii="Helvetica 55 Roman" w:hAnsi="Helvetica 55 Roman"/>
          <w:lang w:val="de-DE"/>
        </w:rPr>
        <w:t xml:space="preserve"> Orange Communications Luxembourg S.A.</w:t>
      </w:r>
      <w:r w:rsidR="003B1970">
        <w:rPr>
          <w:rFonts w:ascii="Helvetica 55 Roman" w:hAnsi="Helvetica 55 Roman"/>
          <w:lang w:val="de-DE"/>
        </w:rPr>
        <w:t xml:space="preserve"> </w:t>
      </w:r>
      <w:r w:rsidR="002A0B55">
        <w:rPr>
          <w:rFonts w:ascii="Helvetica 55 Roman" w:hAnsi="Helvetica 55 Roman"/>
          <w:lang w:val="de-DE"/>
        </w:rPr>
        <w:t xml:space="preserve">hat sich um </w:t>
      </w:r>
      <w:r w:rsidR="002A0B55">
        <w:rPr>
          <w:rFonts w:ascii="Helvetica 55 Roman" w:hAnsi="Helvetica 55 Roman"/>
          <w:lang w:val="de-DE"/>
        </w:rPr>
        <w:t>15.1</w:t>
      </w:r>
      <w:r w:rsidR="002A0B55">
        <w:rPr>
          <w:rFonts w:ascii="Helvetica 55 Roman" w:hAnsi="Helvetica 55 Roman"/>
          <w:lang w:val="de-DE"/>
        </w:rPr>
        <w:t>% gegenüber dem Vorjahr gesteigert</w:t>
      </w:r>
      <w:r w:rsidR="00991BB1" w:rsidRPr="00232656">
        <w:rPr>
          <w:rFonts w:ascii="Helvetica 55 Roman" w:hAnsi="Helvetica 55 Roman"/>
          <w:lang w:val="de-DE"/>
        </w:rPr>
        <w:t xml:space="preserve">. </w:t>
      </w:r>
      <w:r>
        <w:rPr>
          <w:rFonts w:ascii="Helvetica 55 Roman" w:hAnsi="Helvetica 55 Roman"/>
          <w:lang w:val="de-DE"/>
        </w:rPr>
        <w:t xml:space="preserve">Dieses positive Resultat konnte erzielt werden trotz der Einführung von Roaming in die Tarife, sowie den Anlaufkosten für die neuen konvergierenden Angebote, die aus der Zusammenarbeit mit dem Kabelbetreiber </w:t>
      </w:r>
      <w:proofErr w:type="spellStart"/>
      <w:r>
        <w:rPr>
          <w:rFonts w:ascii="Helvetica 55 Roman" w:hAnsi="Helvetica 55 Roman"/>
          <w:lang w:val="de-DE"/>
        </w:rPr>
        <w:t>Eltrona</w:t>
      </w:r>
      <w:proofErr w:type="spellEnd"/>
      <w:r>
        <w:rPr>
          <w:rFonts w:ascii="Helvetica 55 Roman" w:hAnsi="Helvetica 55 Roman"/>
          <w:lang w:val="de-DE"/>
        </w:rPr>
        <w:t xml:space="preserve"> </w:t>
      </w:r>
      <w:proofErr w:type="spellStart"/>
      <w:r>
        <w:rPr>
          <w:rFonts w:ascii="Helvetica 55 Roman" w:hAnsi="Helvetica 55 Roman"/>
          <w:lang w:val="de-DE"/>
        </w:rPr>
        <w:t>Telcom</w:t>
      </w:r>
      <w:proofErr w:type="spellEnd"/>
      <w:r>
        <w:rPr>
          <w:rFonts w:ascii="Helvetica 55 Roman" w:hAnsi="Helvetica 55 Roman"/>
          <w:lang w:val="de-DE"/>
        </w:rPr>
        <w:t xml:space="preserve"> hervorgegangen sind. </w:t>
      </w:r>
      <w:bookmarkStart w:id="0" w:name="_GoBack"/>
      <w:bookmarkEnd w:id="0"/>
    </w:p>
    <w:p w14:paraId="32290FFB" w14:textId="77777777" w:rsidR="00991BB1" w:rsidRPr="00232656" w:rsidRDefault="00991BB1" w:rsidP="00DF1464">
      <w:pPr>
        <w:jc w:val="both"/>
        <w:rPr>
          <w:rFonts w:ascii="HelveticaNeueLT Std" w:eastAsia="Times New Roman" w:hAnsi="HelveticaNeueLT Std"/>
          <w:lang w:val="de-D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8"/>
        <w:gridCol w:w="1134"/>
        <w:gridCol w:w="1275"/>
      </w:tblGrid>
      <w:tr w:rsidR="00672179" w:rsidRPr="00232656" w14:paraId="05B75FC1" w14:textId="77777777" w:rsidTr="00CE355E">
        <w:trPr>
          <w:trHeight w:val="443"/>
        </w:trPr>
        <w:tc>
          <w:tcPr>
            <w:tcW w:w="4678" w:type="dxa"/>
            <w:tcBorders>
              <w:top w:val="single" w:sz="4" w:space="0" w:color="auto"/>
              <w:left w:val="single" w:sz="4" w:space="0" w:color="auto"/>
              <w:bottom w:val="single" w:sz="4" w:space="0" w:color="auto"/>
              <w:right w:val="single" w:sz="4" w:space="0" w:color="auto"/>
            </w:tcBorders>
            <w:shd w:val="clear" w:color="auto" w:fill="C0C0C0"/>
            <w:vAlign w:val="center"/>
          </w:tcPr>
          <w:p w14:paraId="6C56D424" w14:textId="77777777" w:rsidR="00672179" w:rsidRPr="00232656" w:rsidRDefault="00672179" w:rsidP="00236C11">
            <w:pPr>
              <w:pStyle w:val="Header"/>
              <w:rPr>
                <w:rFonts w:ascii="Helvetica 55 Roman" w:hAnsi="Helvetica 55 Roman"/>
                <w:b/>
                <w:snapToGrid w:val="0"/>
                <w:sz w:val="20"/>
                <w:lang w:val="de-DE"/>
              </w:rPr>
            </w:pPr>
          </w:p>
          <w:p w14:paraId="5A155F9D" w14:textId="3AF17931" w:rsidR="00672179" w:rsidRPr="00232656" w:rsidRDefault="00B5641E" w:rsidP="00236C11">
            <w:pPr>
              <w:pStyle w:val="Header"/>
              <w:rPr>
                <w:rFonts w:ascii="Helvetica 55 Roman" w:hAnsi="Helvetica 55 Roman"/>
                <w:b/>
                <w:snapToGrid w:val="0"/>
                <w:sz w:val="20"/>
                <w:lang w:val="de-DE"/>
              </w:rPr>
            </w:pPr>
            <w:r>
              <w:rPr>
                <w:rFonts w:ascii="Helvetica 55 Roman" w:hAnsi="Helvetica 55 Roman"/>
                <w:b/>
                <w:snapToGrid w:val="0"/>
                <w:sz w:val="22"/>
                <w:lang w:val="de-DE"/>
              </w:rPr>
              <w:t>Finanzielle Eckzahlen von</w:t>
            </w:r>
            <w:r w:rsidR="00672179" w:rsidRPr="00232656">
              <w:rPr>
                <w:rFonts w:ascii="Helvetica 55 Roman" w:hAnsi="Helvetica 55 Roman"/>
                <w:b/>
                <w:snapToGrid w:val="0"/>
                <w:sz w:val="22"/>
                <w:lang w:val="de-DE"/>
              </w:rPr>
              <w:t xml:space="preserve"> Orange Communications Luxembourg S.A.</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0101F1AA" w14:textId="470723BB" w:rsidR="00672179" w:rsidRPr="00232656" w:rsidRDefault="00B5641E" w:rsidP="00236C11">
            <w:pPr>
              <w:pStyle w:val="Header"/>
              <w:jc w:val="center"/>
              <w:rPr>
                <w:rFonts w:ascii="Helvetica 55 Roman" w:hAnsi="Helvetica 55 Roman"/>
                <w:b/>
                <w:bCs/>
                <w:sz w:val="22"/>
                <w:szCs w:val="20"/>
                <w:lang w:val="de-DE" w:eastAsia="nl-NL"/>
              </w:rPr>
            </w:pPr>
            <w:r>
              <w:rPr>
                <w:rFonts w:ascii="Helvetica 55 Roman" w:hAnsi="Helvetica 55 Roman"/>
                <w:b/>
                <w:bCs/>
                <w:sz w:val="22"/>
                <w:szCs w:val="20"/>
                <w:lang w:val="de-DE" w:eastAsia="nl-NL"/>
              </w:rPr>
              <w:t>Jahr</w:t>
            </w:r>
            <w:r w:rsidR="00672179" w:rsidRPr="00232656">
              <w:rPr>
                <w:rFonts w:ascii="Helvetica 55 Roman" w:hAnsi="Helvetica 55 Roman"/>
                <w:b/>
                <w:bCs/>
                <w:sz w:val="22"/>
                <w:szCs w:val="20"/>
                <w:lang w:val="de-DE" w:eastAsia="nl-NL"/>
              </w:rPr>
              <w:t xml:space="preserve"> 2013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2A0C240" w14:textId="311EB523" w:rsidR="00672179" w:rsidRPr="00232656" w:rsidRDefault="00B5641E" w:rsidP="00236C11">
            <w:pPr>
              <w:pStyle w:val="Header"/>
              <w:jc w:val="center"/>
              <w:rPr>
                <w:rFonts w:ascii="Helvetica 55 Roman" w:hAnsi="Helvetica 55 Roman"/>
                <w:b/>
                <w:bCs/>
                <w:sz w:val="22"/>
                <w:szCs w:val="20"/>
                <w:lang w:val="de-DE" w:eastAsia="nl-NL"/>
              </w:rPr>
            </w:pPr>
            <w:r>
              <w:rPr>
                <w:rFonts w:ascii="Helvetica 55 Roman" w:hAnsi="Helvetica 55 Roman"/>
                <w:b/>
                <w:bCs/>
                <w:sz w:val="22"/>
                <w:szCs w:val="20"/>
                <w:lang w:val="de-DE" w:eastAsia="nl-NL"/>
              </w:rPr>
              <w:t xml:space="preserve">Jahr </w:t>
            </w:r>
            <w:r w:rsidR="00672179" w:rsidRPr="00232656">
              <w:rPr>
                <w:rFonts w:ascii="Helvetica 55 Roman" w:hAnsi="Helvetica 55 Roman"/>
                <w:b/>
                <w:bCs/>
                <w:sz w:val="22"/>
                <w:szCs w:val="20"/>
                <w:lang w:val="de-DE" w:eastAsia="nl-NL"/>
              </w:rPr>
              <w:t>2012</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14:paraId="2C48F3A2" w14:textId="77777777" w:rsidR="00672179" w:rsidRPr="00232656" w:rsidRDefault="00672179" w:rsidP="00236C11">
            <w:pPr>
              <w:pStyle w:val="Header"/>
              <w:jc w:val="center"/>
              <w:rPr>
                <w:rFonts w:ascii="Helvetica 55 Roman" w:hAnsi="Helvetica 55 Roman"/>
                <w:b/>
                <w:snapToGrid w:val="0"/>
                <w:sz w:val="20"/>
                <w:lang w:val="de-DE"/>
              </w:rPr>
            </w:pPr>
            <w:r w:rsidRPr="00232656">
              <w:rPr>
                <w:rFonts w:ascii="Helvetica 55 Roman" w:hAnsi="Helvetica 55 Roman"/>
                <w:b/>
                <w:snapToGrid w:val="0"/>
                <w:sz w:val="20"/>
                <w:lang w:val="de-DE"/>
              </w:rPr>
              <w:t>Variation</w:t>
            </w:r>
          </w:p>
        </w:tc>
      </w:tr>
      <w:tr w:rsidR="00672179" w:rsidRPr="00232656" w14:paraId="49433BC9" w14:textId="77777777" w:rsidTr="00CE355E">
        <w:trPr>
          <w:trHeight w:val="222"/>
        </w:trPr>
        <w:tc>
          <w:tcPr>
            <w:tcW w:w="4678" w:type="dxa"/>
            <w:vAlign w:val="center"/>
          </w:tcPr>
          <w:p w14:paraId="66E110AE" w14:textId="285776D5" w:rsidR="00672179" w:rsidRPr="00232656" w:rsidRDefault="00B5641E" w:rsidP="00236C11">
            <w:pPr>
              <w:pStyle w:val="Header"/>
              <w:rPr>
                <w:rFonts w:ascii="Helvetica 55 Roman" w:hAnsi="Helvetica 55 Roman"/>
                <w:snapToGrid w:val="0"/>
                <w:sz w:val="20"/>
                <w:lang w:val="de-DE"/>
              </w:rPr>
            </w:pPr>
            <w:r>
              <w:rPr>
                <w:rFonts w:ascii="Helvetica 55 Roman" w:hAnsi="Helvetica 55 Roman"/>
                <w:snapToGrid w:val="0"/>
                <w:sz w:val="20"/>
                <w:lang w:val="de-DE"/>
              </w:rPr>
              <w:t>Gesamtumsatz (M</w:t>
            </w:r>
            <w:r w:rsidR="00672179" w:rsidRPr="00232656">
              <w:rPr>
                <w:rFonts w:ascii="Helvetica 55 Roman" w:hAnsi="Helvetica 55 Roman"/>
                <w:snapToGrid w:val="0"/>
                <w:sz w:val="20"/>
                <w:lang w:val="de-DE"/>
              </w:rPr>
              <w:t>illion</w:t>
            </w:r>
            <w:r>
              <w:rPr>
                <w:rFonts w:ascii="Helvetica 55 Roman" w:hAnsi="Helvetica 55 Roman"/>
                <w:snapToGrid w:val="0"/>
                <w:sz w:val="20"/>
                <w:lang w:val="de-DE"/>
              </w:rPr>
              <w:t>en</w:t>
            </w:r>
            <w:r w:rsidR="00672179" w:rsidRPr="00232656">
              <w:rPr>
                <w:rFonts w:ascii="Helvetica 55 Roman" w:hAnsi="Helvetica 55 Roman"/>
                <w:snapToGrid w:val="0"/>
                <w:sz w:val="20"/>
                <w:lang w:val="de-DE"/>
              </w:rPr>
              <w:t xml:space="preserve"> €)</w:t>
            </w:r>
          </w:p>
        </w:tc>
        <w:tc>
          <w:tcPr>
            <w:tcW w:w="1418" w:type="dxa"/>
            <w:vAlign w:val="bottom"/>
          </w:tcPr>
          <w:p w14:paraId="6349CB6F" w14:textId="0123C0F0" w:rsidR="00672179" w:rsidRPr="00232656" w:rsidDel="00214823" w:rsidRDefault="00672179" w:rsidP="00B5641E">
            <w:pPr>
              <w:jc w:val="right"/>
              <w:rPr>
                <w:rFonts w:ascii="Helvetica 55 Roman" w:hAnsi="Helvetica 55 Roman" w:cs="Arial"/>
                <w:sz w:val="20"/>
                <w:szCs w:val="20"/>
                <w:lang w:val="de-DE"/>
              </w:rPr>
            </w:pPr>
            <w:r w:rsidRPr="00232656">
              <w:rPr>
                <w:rFonts w:ascii="Helvetica 55 Roman" w:hAnsi="Helvetica 55 Roman" w:cs="Arial"/>
                <w:sz w:val="20"/>
                <w:szCs w:val="20"/>
                <w:lang w:val="de-DE"/>
              </w:rPr>
              <w:t>75</w:t>
            </w:r>
            <w:r w:rsidR="00B5641E">
              <w:rPr>
                <w:rFonts w:ascii="Helvetica 55 Roman" w:hAnsi="Helvetica 55 Roman" w:cs="Arial"/>
                <w:sz w:val="20"/>
                <w:szCs w:val="20"/>
                <w:lang w:val="de-DE"/>
              </w:rPr>
              <w:t>,</w:t>
            </w:r>
            <w:r w:rsidRPr="00232656">
              <w:rPr>
                <w:rFonts w:ascii="Helvetica 55 Roman" w:hAnsi="Helvetica 55 Roman" w:cs="Arial"/>
                <w:sz w:val="20"/>
                <w:szCs w:val="20"/>
                <w:lang w:val="de-DE"/>
              </w:rPr>
              <w:t>6</w:t>
            </w:r>
          </w:p>
        </w:tc>
        <w:tc>
          <w:tcPr>
            <w:tcW w:w="1134" w:type="dxa"/>
            <w:vAlign w:val="bottom"/>
          </w:tcPr>
          <w:p w14:paraId="210E5491" w14:textId="3C49CB4E" w:rsidR="00672179" w:rsidRPr="00232656" w:rsidDel="00214823"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75,</w:t>
            </w:r>
            <w:r w:rsidR="00672179" w:rsidRPr="00232656">
              <w:rPr>
                <w:rFonts w:ascii="Helvetica 55 Roman" w:hAnsi="Helvetica 55 Roman" w:cs="Arial"/>
                <w:sz w:val="20"/>
                <w:szCs w:val="20"/>
                <w:lang w:val="de-DE"/>
              </w:rPr>
              <w:t>5</w:t>
            </w:r>
          </w:p>
        </w:tc>
        <w:tc>
          <w:tcPr>
            <w:tcW w:w="1275" w:type="dxa"/>
            <w:vAlign w:val="bottom"/>
          </w:tcPr>
          <w:p w14:paraId="3DCF0017" w14:textId="5DDE8E4B" w:rsidR="00672179" w:rsidRPr="00232656"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+0,</w:t>
            </w:r>
            <w:r w:rsidR="00672179" w:rsidRPr="00232656">
              <w:rPr>
                <w:rFonts w:ascii="Helvetica 55 Roman" w:hAnsi="Helvetica 55 Roman" w:cs="Arial"/>
                <w:sz w:val="20"/>
                <w:szCs w:val="20"/>
                <w:lang w:val="de-DE"/>
              </w:rPr>
              <w:t>1 %</w:t>
            </w:r>
          </w:p>
        </w:tc>
      </w:tr>
    </w:tbl>
    <w:p w14:paraId="2487B74E" w14:textId="77777777" w:rsidR="00672179" w:rsidRPr="00232656" w:rsidRDefault="00672179" w:rsidP="00672179">
      <w:pPr>
        <w:jc w:val="both"/>
        <w:rPr>
          <w:rFonts w:ascii="Helvetica 55 Roman" w:hAnsi="Helvetica 55 Roman" w:cs="Calibri"/>
          <w:lang w:val="de-DE"/>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134"/>
        <w:gridCol w:w="1134"/>
        <w:gridCol w:w="1275"/>
      </w:tblGrid>
      <w:tr w:rsidR="00672179" w:rsidRPr="00232656" w14:paraId="5554FBF7" w14:textId="77777777" w:rsidTr="007B6F56">
        <w:trPr>
          <w:trHeight w:val="328"/>
        </w:trPr>
        <w:tc>
          <w:tcPr>
            <w:tcW w:w="4962" w:type="dxa"/>
            <w:shd w:val="clear" w:color="auto" w:fill="C0C0C0"/>
            <w:vAlign w:val="bottom"/>
          </w:tcPr>
          <w:p w14:paraId="058FED5A" w14:textId="452E81BC" w:rsidR="00672179" w:rsidRPr="00232656" w:rsidRDefault="00B5641E" w:rsidP="00236C11">
            <w:pPr>
              <w:rPr>
                <w:rFonts w:ascii="Helvetica 55 Roman" w:hAnsi="Helvetica 55 Roman"/>
                <w:b/>
                <w:bCs/>
                <w:szCs w:val="20"/>
                <w:lang w:val="de-DE" w:eastAsia="nl-NL"/>
              </w:rPr>
            </w:pPr>
            <w:r>
              <w:rPr>
                <w:rFonts w:ascii="Helvetica 55 Roman" w:hAnsi="Helvetica 55 Roman"/>
                <w:b/>
                <w:bCs/>
                <w:szCs w:val="20"/>
                <w:lang w:val="de-DE" w:eastAsia="nl-NL"/>
              </w:rPr>
              <w:t>Operative Eckzahlen von</w:t>
            </w:r>
            <w:r w:rsidR="00672179" w:rsidRPr="00232656">
              <w:rPr>
                <w:rFonts w:ascii="Helvetica 55 Roman" w:hAnsi="Helvetica 55 Roman"/>
                <w:b/>
                <w:bCs/>
                <w:szCs w:val="20"/>
                <w:lang w:val="de-DE" w:eastAsia="nl-NL"/>
              </w:rPr>
              <w:t xml:space="preserve"> Orange Communications Luxembourg S.A.</w:t>
            </w:r>
          </w:p>
        </w:tc>
        <w:tc>
          <w:tcPr>
            <w:tcW w:w="1134" w:type="dxa"/>
            <w:shd w:val="clear" w:color="auto" w:fill="C0C0C0"/>
            <w:vAlign w:val="bottom"/>
          </w:tcPr>
          <w:p w14:paraId="7D914A24" w14:textId="7AA80A4D" w:rsidR="00672179" w:rsidRPr="00B5641E" w:rsidRDefault="00B5641E" w:rsidP="00B5641E">
            <w:pPr>
              <w:jc w:val="center"/>
              <w:rPr>
                <w:rFonts w:ascii="Helvetica 55 Roman" w:hAnsi="Helvetica 55 Roman"/>
                <w:b/>
                <w:bCs/>
                <w:szCs w:val="20"/>
                <w:lang w:val="de-DE" w:eastAsia="nl-NL"/>
              </w:rPr>
            </w:pPr>
            <w:r>
              <w:rPr>
                <w:rFonts w:ascii="Helvetica 55 Roman" w:hAnsi="Helvetica 55 Roman"/>
                <w:b/>
                <w:bCs/>
                <w:szCs w:val="20"/>
                <w:lang w:val="de-DE" w:eastAsia="nl-NL"/>
              </w:rPr>
              <w:t xml:space="preserve">Jahr  </w:t>
            </w:r>
            <w:r w:rsidR="00672179" w:rsidRPr="00232656">
              <w:rPr>
                <w:rFonts w:ascii="Helvetica 55 Roman" w:hAnsi="Helvetica 55 Roman"/>
                <w:b/>
                <w:bCs/>
                <w:szCs w:val="20"/>
                <w:lang w:val="de-DE" w:eastAsia="nl-NL"/>
              </w:rPr>
              <w:t>2013</w:t>
            </w:r>
          </w:p>
        </w:tc>
        <w:tc>
          <w:tcPr>
            <w:tcW w:w="1134" w:type="dxa"/>
            <w:shd w:val="clear" w:color="auto" w:fill="C0C0C0"/>
            <w:vAlign w:val="bottom"/>
          </w:tcPr>
          <w:p w14:paraId="49D64CFA" w14:textId="12276784" w:rsidR="00672179" w:rsidRPr="00232656" w:rsidRDefault="00B5641E" w:rsidP="00236C11">
            <w:pPr>
              <w:jc w:val="center"/>
              <w:rPr>
                <w:rFonts w:ascii="Helvetica 55 Roman" w:hAnsi="Helvetica 55 Roman"/>
                <w:bCs/>
                <w:szCs w:val="20"/>
                <w:lang w:val="de-DE" w:eastAsia="nl-NL"/>
              </w:rPr>
            </w:pPr>
            <w:r>
              <w:rPr>
                <w:rFonts w:ascii="Helvetica 55 Roman" w:hAnsi="Helvetica 55 Roman"/>
                <w:b/>
                <w:bCs/>
                <w:szCs w:val="20"/>
                <w:lang w:val="de-DE" w:eastAsia="nl-NL"/>
              </w:rPr>
              <w:t>Jahr</w:t>
            </w:r>
            <w:r w:rsidR="00672179" w:rsidRPr="00232656">
              <w:rPr>
                <w:rFonts w:ascii="Helvetica 55 Roman" w:hAnsi="Helvetica 55 Roman"/>
                <w:b/>
                <w:bCs/>
                <w:szCs w:val="20"/>
                <w:lang w:val="de-DE" w:eastAsia="nl-NL"/>
              </w:rPr>
              <w:t xml:space="preserve"> 2012</w:t>
            </w:r>
          </w:p>
        </w:tc>
        <w:tc>
          <w:tcPr>
            <w:tcW w:w="1275" w:type="dxa"/>
            <w:shd w:val="clear" w:color="auto" w:fill="C0C0C0"/>
            <w:noWrap/>
            <w:vAlign w:val="bottom"/>
          </w:tcPr>
          <w:p w14:paraId="3D53DD13" w14:textId="77777777" w:rsidR="00672179" w:rsidRPr="00232656" w:rsidRDefault="00672179" w:rsidP="00236C11">
            <w:pPr>
              <w:jc w:val="center"/>
              <w:rPr>
                <w:rFonts w:ascii="Helvetica 55 Roman" w:hAnsi="Helvetica 55 Roman"/>
                <w:bCs/>
                <w:szCs w:val="20"/>
                <w:lang w:val="de-DE" w:eastAsia="nl-NL"/>
              </w:rPr>
            </w:pPr>
            <w:r w:rsidRPr="00232656">
              <w:rPr>
                <w:rFonts w:ascii="Helvetica 55 Roman" w:hAnsi="Helvetica 55 Roman"/>
                <w:b/>
                <w:bCs/>
                <w:szCs w:val="20"/>
                <w:lang w:val="de-DE" w:eastAsia="nl-NL"/>
              </w:rPr>
              <w:t>Variation</w:t>
            </w:r>
          </w:p>
        </w:tc>
      </w:tr>
      <w:tr w:rsidR="00672179" w:rsidRPr="00232656" w14:paraId="783F549F" w14:textId="77777777" w:rsidTr="007B6F56">
        <w:tblPrEx>
          <w:tblCellMar>
            <w:left w:w="108" w:type="dxa"/>
            <w:right w:w="108" w:type="dxa"/>
          </w:tblCellMar>
          <w:tblLook w:val="01E0" w:firstRow="1" w:lastRow="1" w:firstColumn="1" w:lastColumn="1" w:noHBand="0" w:noVBand="0"/>
        </w:tblPrEx>
        <w:trPr>
          <w:trHeight w:val="222"/>
        </w:trPr>
        <w:tc>
          <w:tcPr>
            <w:tcW w:w="4962" w:type="dxa"/>
            <w:vAlign w:val="center"/>
          </w:tcPr>
          <w:p w14:paraId="3853194F" w14:textId="558DF03F" w:rsidR="00672179" w:rsidRPr="00232656" w:rsidRDefault="00B5641E" w:rsidP="00236C11">
            <w:pPr>
              <w:pStyle w:val="Header"/>
              <w:rPr>
                <w:rFonts w:ascii="Helvetica 55 Roman" w:hAnsi="Helvetica 55 Roman"/>
                <w:snapToGrid w:val="0"/>
                <w:sz w:val="20"/>
                <w:lang w:val="de-DE"/>
              </w:rPr>
            </w:pPr>
            <w:r>
              <w:rPr>
                <w:rFonts w:ascii="Helvetica 55 Roman" w:hAnsi="Helvetica 55 Roman"/>
                <w:snapToGrid w:val="0"/>
                <w:sz w:val="20"/>
                <w:lang w:val="de-DE"/>
              </w:rPr>
              <w:lastRenderedPageBreak/>
              <w:t>Gesamtzahl aktiver Kunden (mobile Telefonie</w:t>
            </w:r>
            <w:r w:rsidR="00672179" w:rsidRPr="00232656">
              <w:rPr>
                <w:rFonts w:ascii="Helvetica 55 Roman" w:hAnsi="Helvetica 55 Roman"/>
                <w:snapToGrid w:val="0"/>
                <w:sz w:val="20"/>
                <w:lang w:val="de-DE"/>
              </w:rPr>
              <w:t xml:space="preserve">) </w:t>
            </w:r>
            <w:r w:rsidR="00672179" w:rsidRPr="00232656">
              <w:rPr>
                <w:rFonts w:ascii="Helvetica 55 Roman" w:hAnsi="Helvetica 55 Roman"/>
                <w:snapToGrid w:val="0"/>
                <w:sz w:val="20"/>
                <w:vertAlign w:val="superscript"/>
                <w:lang w:val="de-DE"/>
              </w:rPr>
              <w:t>(</w:t>
            </w:r>
            <w:r w:rsidR="00672179" w:rsidRPr="00232656">
              <w:rPr>
                <w:rFonts w:ascii="Helvetica 55 Roman" w:hAnsi="Helvetica 55 Roman"/>
                <w:snapToGrid w:val="0"/>
                <w:sz w:val="20"/>
                <w:vertAlign w:val="superscript"/>
                <w:lang w:val="de-DE"/>
              </w:rPr>
              <w:footnoteReference w:id="1"/>
            </w:r>
            <w:r w:rsidR="00672179" w:rsidRPr="00232656">
              <w:rPr>
                <w:rFonts w:ascii="Helvetica 55 Roman" w:hAnsi="Helvetica 55 Roman"/>
                <w:snapToGrid w:val="0"/>
                <w:sz w:val="20"/>
                <w:vertAlign w:val="superscript"/>
                <w:lang w:val="de-DE"/>
              </w:rPr>
              <w:t>)</w:t>
            </w:r>
          </w:p>
        </w:tc>
        <w:tc>
          <w:tcPr>
            <w:tcW w:w="1134" w:type="dxa"/>
            <w:vAlign w:val="bottom"/>
          </w:tcPr>
          <w:p w14:paraId="66FEB8B9" w14:textId="5F5C70DA" w:rsidR="00672179" w:rsidRPr="00232656" w:rsidDel="00214823"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102.</w:t>
            </w:r>
            <w:r w:rsidR="00672179" w:rsidRPr="00232656">
              <w:rPr>
                <w:rFonts w:ascii="Helvetica 55 Roman" w:hAnsi="Helvetica 55 Roman" w:cs="Arial"/>
                <w:sz w:val="20"/>
                <w:szCs w:val="20"/>
                <w:lang w:val="de-DE"/>
              </w:rPr>
              <w:t>179</w:t>
            </w:r>
          </w:p>
        </w:tc>
        <w:tc>
          <w:tcPr>
            <w:tcW w:w="1134" w:type="dxa"/>
            <w:vAlign w:val="bottom"/>
          </w:tcPr>
          <w:p w14:paraId="550186EB" w14:textId="6EAFBCDD" w:rsidR="00672179" w:rsidRPr="00232656" w:rsidDel="00214823"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105.</w:t>
            </w:r>
            <w:r w:rsidR="00672179" w:rsidRPr="00232656">
              <w:rPr>
                <w:rFonts w:ascii="Helvetica 55 Roman" w:hAnsi="Helvetica 55 Roman" w:cs="Arial"/>
                <w:sz w:val="20"/>
                <w:szCs w:val="20"/>
                <w:lang w:val="de-DE"/>
              </w:rPr>
              <w:t>805</w:t>
            </w:r>
          </w:p>
        </w:tc>
        <w:tc>
          <w:tcPr>
            <w:tcW w:w="1275" w:type="dxa"/>
            <w:vAlign w:val="bottom"/>
          </w:tcPr>
          <w:p w14:paraId="36A1CCEC" w14:textId="3C7A1666" w:rsidR="00672179" w:rsidRPr="00232656"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-3,</w:t>
            </w:r>
            <w:r w:rsidR="00672179" w:rsidRPr="00232656">
              <w:rPr>
                <w:rFonts w:ascii="Helvetica 55 Roman" w:hAnsi="Helvetica 55 Roman" w:cs="Arial"/>
                <w:sz w:val="20"/>
                <w:szCs w:val="20"/>
                <w:lang w:val="de-DE"/>
              </w:rPr>
              <w:t>4 %</w:t>
            </w:r>
          </w:p>
        </w:tc>
      </w:tr>
      <w:tr w:rsidR="00672179" w:rsidRPr="00232656" w14:paraId="47DDF0C9" w14:textId="77777777" w:rsidTr="007B6F56">
        <w:tblPrEx>
          <w:tblCellMar>
            <w:left w:w="108" w:type="dxa"/>
            <w:right w:w="108" w:type="dxa"/>
          </w:tblCellMar>
          <w:tblLook w:val="01E0" w:firstRow="1" w:lastRow="1" w:firstColumn="1" w:lastColumn="1" w:noHBand="0" w:noVBand="0"/>
        </w:tblPrEx>
        <w:trPr>
          <w:trHeight w:val="222"/>
        </w:trPr>
        <w:tc>
          <w:tcPr>
            <w:tcW w:w="4962" w:type="dxa"/>
            <w:vAlign w:val="center"/>
          </w:tcPr>
          <w:p w14:paraId="309E3E44" w14:textId="369D03DF" w:rsidR="00672179" w:rsidRPr="00232656" w:rsidRDefault="00672179" w:rsidP="00B5641E">
            <w:pPr>
              <w:pStyle w:val="Header"/>
              <w:rPr>
                <w:rFonts w:ascii="Helvetica 55 Roman" w:hAnsi="Helvetica 55 Roman"/>
                <w:snapToGrid w:val="0"/>
                <w:sz w:val="20"/>
                <w:lang w:val="de-DE"/>
              </w:rPr>
            </w:pPr>
            <w:r w:rsidRPr="00232656">
              <w:rPr>
                <w:rFonts w:ascii="Helvetica 55 Roman" w:hAnsi="Helvetica 55 Roman"/>
                <w:snapToGrid w:val="0"/>
                <w:sz w:val="20"/>
                <w:lang w:val="de-DE"/>
              </w:rPr>
              <w:t>ARPU</w:t>
            </w:r>
            <w:r w:rsidRPr="00232656">
              <w:rPr>
                <w:rFonts w:ascii="Helvetica 55 Roman" w:hAnsi="Helvetica 55 Roman"/>
                <w:snapToGrid w:val="0"/>
                <w:sz w:val="20"/>
                <w:vertAlign w:val="superscript"/>
                <w:lang w:val="de-DE"/>
              </w:rPr>
              <w:t>(</w:t>
            </w:r>
            <w:r w:rsidRPr="00232656">
              <w:rPr>
                <w:rFonts w:ascii="Helvetica 55 Roman" w:hAnsi="Helvetica 55 Roman"/>
                <w:snapToGrid w:val="0"/>
                <w:sz w:val="20"/>
                <w:vertAlign w:val="superscript"/>
                <w:lang w:val="de-DE"/>
              </w:rPr>
              <w:footnoteReference w:id="2"/>
            </w:r>
            <w:r w:rsidRPr="00232656">
              <w:rPr>
                <w:rFonts w:ascii="Helvetica 55 Roman" w:hAnsi="Helvetica 55 Roman"/>
                <w:snapToGrid w:val="0"/>
                <w:sz w:val="20"/>
                <w:vertAlign w:val="superscript"/>
                <w:lang w:val="de-DE"/>
              </w:rPr>
              <w:t xml:space="preserve">) </w:t>
            </w:r>
            <w:r w:rsidRPr="00232656">
              <w:rPr>
                <w:rFonts w:ascii="Helvetica 55 Roman" w:hAnsi="Helvetica 55 Roman"/>
                <w:snapToGrid w:val="0"/>
                <w:sz w:val="20"/>
                <w:lang w:val="de-DE"/>
              </w:rPr>
              <w:t>(€/</w:t>
            </w:r>
            <w:r w:rsidR="00B5641E">
              <w:rPr>
                <w:rFonts w:ascii="Helvetica 55 Roman" w:hAnsi="Helvetica 55 Roman"/>
                <w:snapToGrid w:val="0"/>
                <w:sz w:val="20"/>
                <w:lang w:val="de-DE"/>
              </w:rPr>
              <w:t>Monat</w:t>
            </w:r>
            <w:r w:rsidRPr="00232656">
              <w:rPr>
                <w:rFonts w:ascii="Helvetica 55 Roman" w:hAnsi="Helvetica 55 Roman"/>
                <w:snapToGrid w:val="0"/>
                <w:sz w:val="20"/>
                <w:lang w:val="de-DE"/>
              </w:rPr>
              <w:t>/</w:t>
            </w:r>
            <w:r w:rsidR="00B5641E">
              <w:rPr>
                <w:rFonts w:ascii="Helvetica 55 Roman" w:hAnsi="Helvetica 55 Roman"/>
                <w:snapToGrid w:val="0"/>
                <w:sz w:val="20"/>
                <w:lang w:val="de-DE"/>
              </w:rPr>
              <w:t>aktiver Kunde</w:t>
            </w:r>
            <w:r w:rsidRPr="00232656">
              <w:rPr>
                <w:rFonts w:ascii="Helvetica 55 Roman" w:hAnsi="Helvetica 55 Roman"/>
                <w:snapToGrid w:val="0"/>
                <w:sz w:val="20"/>
                <w:lang w:val="de-DE"/>
              </w:rPr>
              <w:t>)</w:t>
            </w:r>
          </w:p>
        </w:tc>
        <w:tc>
          <w:tcPr>
            <w:tcW w:w="1134" w:type="dxa"/>
            <w:vAlign w:val="bottom"/>
          </w:tcPr>
          <w:p w14:paraId="41C77CC3" w14:textId="626D691E" w:rsidR="00672179" w:rsidRPr="00232656" w:rsidDel="00214823"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50,</w:t>
            </w:r>
            <w:r w:rsidR="00672179" w:rsidRPr="00232656">
              <w:rPr>
                <w:rFonts w:ascii="Helvetica 55 Roman" w:hAnsi="Helvetica 55 Roman" w:cs="Arial"/>
                <w:sz w:val="20"/>
                <w:szCs w:val="20"/>
                <w:lang w:val="de-DE"/>
              </w:rPr>
              <w:t>15</w:t>
            </w:r>
          </w:p>
        </w:tc>
        <w:tc>
          <w:tcPr>
            <w:tcW w:w="1134" w:type="dxa"/>
            <w:vAlign w:val="bottom"/>
          </w:tcPr>
          <w:p w14:paraId="1D0A1850" w14:textId="4F938B56" w:rsidR="00672179" w:rsidRPr="00232656" w:rsidDel="00214823"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51,</w:t>
            </w:r>
            <w:r w:rsidR="00672179" w:rsidRPr="00232656">
              <w:rPr>
                <w:rFonts w:ascii="Helvetica 55 Roman" w:hAnsi="Helvetica 55 Roman" w:cs="Arial"/>
                <w:sz w:val="20"/>
                <w:szCs w:val="20"/>
                <w:lang w:val="de-DE"/>
              </w:rPr>
              <w:t>88</w:t>
            </w:r>
          </w:p>
        </w:tc>
        <w:tc>
          <w:tcPr>
            <w:tcW w:w="1275" w:type="dxa"/>
            <w:vAlign w:val="bottom"/>
          </w:tcPr>
          <w:p w14:paraId="275375E1" w14:textId="2A9DD694" w:rsidR="00672179" w:rsidRPr="00232656" w:rsidRDefault="00B5641E" w:rsidP="00236C11">
            <w:pPr>
              <w:jc w:val="right"/>
              <w:rPr>
                <w:rFonts w:ascii="Helvetica 55 Roman" w:hAnsi="Helvetica 55 Roman" w:cs="Arial"/>
                <w:sz w:val="20"/>
                <w:szCs w:val="20"/>
                <w:lang w:val="de-DE"/>
              </w:rPr>
            </w:pPr>
            <w:r>
              <w:rPr>
                <w:rFonts w:ascii="Helvetica 55 Roman" w:hAnsi="Helvetica 55 Roman" w:cs="Arial"/>
                <w:sz w:val="20"/>
                <w:szCs w:val="20"/>
                <w:lang w:val="de-DE"/>
              </w:rPr>
              <w:t>-3,</w:t>
            </w:r>
            <w:r w:rsidR="00672179" w:rsidRPr="00232656">
              <w:rPr>
                <w:rFonts w:ascii="Helvetica 55 Roman" w:hAnsi="Helvetica 55 Roman" w:cs="Arial"/>
                <w:sz w:val="20"/>
                <w:szCs w:val="20"/>
                <w:lang w:val="de-DE"/>
              </w:rPr>
              <w:t>3 %</w:t>
            </w:r>
          </w:p>
        </w:tc>
      </w:tr>
    </w:tbl>
    <w:p w14:paraId="3147DA64" w14:textId="77777777" w:rsidR="00672179" w:rsidRPr="00232656" w:rsidRDefault="00672179" w:rsidP="00DF1464">
      <w:pPr>
        <w:jc w:val="both"/>
        <w:rPr>
          <w:rFonts w:ascii="Helvetica 55 Roman" w:eastAsia="Times New Roman" w:hAnsi="Helvetica 55 Roman"/>
          <w:lang w:val="de-DE"/>
        </w:rPr>
      </w:pPr>
    </w:p>
    <w:p w14:paraId="2C91ED0B" w14:textId="7E2744EF" w:rsidR="00672179" w:rsidRPr="00232656" w:rsidRDefault="005876A0" w:rsidP="00672179">
      <w:pPr>
        <w:pStyle w:val="BodyTextIndent"/>
        <w:jc w:val="both"/>
        <w:rPr>
          <w:rFonts w:ascii="Helvetica 55 Roman" w:hAnsi="Helvetica 55 Roman" w:cs="Times New Roman"/>
          <w:bCs/>
          <w:i w:val="0"/>
          <w:iCs w:val="0"/>
          <w:sz w:val="22"/>
          <w:szCs w:val="22"/>
          <w:lang w:val="de-DE" w:eastAsia="en-US"/>
        </w:rPr>
      </w:pPr>
      <w:r>
        <w:rPr>
          <w:rFonts w:ascii="Helvetica 55 Roman" w:hAnsi="Helvetica 55 Roman" w:cs="Times New Roman"/>
          <w:bCs/>
          <w:i w:val="0"/>
          <w:iCs w:val="0"/>
          <w:sz w:val="22"/>
          <w:szCs w:val="22"/>
          <w:lang w:val="de-DE" w:eastAsia="en-US"/>
        </w:rPr>
        <w:t>Ende Dez</w:t>
      </w:r>
      <w:r w:rsidR="00672179" w:rsidRPr="00232656">
        <w:rPr>
          <w:rFonts w:ascii="Helvetica 55 Roman" w:hAnsi="Helvetica 55 Roman" w:cs="Times New Roman"/>
          <w:bCs/>
          <w:i w:val="0"/>
          <w:iCs w:val="0"/>
          <w:sz w:val="22"/>
          <w:szCs w:val="22"/>
          <w:lang w:val="de-DE" w:eastAsia="en-US"/>
        </w:rPr>
        <w:t xml:space="preserve">ember 2013, </w:t>
      </w:r>
      <w:r>
        <w:rPr>
          <w:rFonts w:ascii="Helvetica 55 Roman" w:hAnsi="Helvetica 55 Roman" w:cs="Times New Roman"/>
          <w:bCs/>
          <w:i w:val="0"/>
          <w:iCs w:val="0"/>
          <w:sz w:val="22"/>
          <w:szCs w:val="22"/>
          <w:lang w:val="de-DE" w:eastAsia="en-US"/>
        </w:rPr>
        <w:t xml:space="preserve">hatte </w:t>
      </w:r>
      <w:r w:rsidR="00672179" w:rsidRPr="00232656">
        <w:rPr>
          <w:rFonts w:ascii="Helvetica 55 Roman" w:hAnsi="Helvetica 55 Roman" w:cs="Times New Roman"/>
          <w:bCs/>
          <w:i w:val="0"/>
          <w:iCs w:val="0"/>
          <w:sz w:val="22"/>
          <w:szCs w:val="22"/>
          <w:lang w:val="de-DE" w:eastAsia="en-US"/>
        </w:rPr>
        <w:t xml:space="preserve">Orange Communications Luxembourg S.A. </w:t>
      </w:r>
      <w:r>
        <w:rPr>
          <w:rFonts w:ascii="Helvetica 55 Roman" w:hAnsi="Helvetica 55 Roman" w:cs="Times New Roman"/>
          <w:bCs/>
          <w:i w:val="0"/>
          <w:iCs w:val="0"/>
          <w:sz w:val="22"/>
          <w:szCs w:val="22"/>
          <w:lang w:val="de-DE" w:eastAsia="en-US"/>
        </w:rPr>
        <w:t>102.179 aktive Kunden in der Mobiltelefonie</w:t>
      </w:r>
      <w:r w:rsidR="00672179" w:rsidRPr="00232656">
        <w:rPr>
          <w:rFonts w:ascii="Helvetica 55 Roman" w:hAnsi="Helvetica 55 Roman" w:cs="Times New Roman"/>
          <w:bCs/>
          <w:i w:val="0"/>
          <w:iCs w:val="0"/>
          <w:sz w:val="22"/>
          <w:szCs w:val="22"/>
          <w:lang w:val="de-DE" w:eastAsia="en-US"/>
        </w:rPr>
        <w:t xml:space="preserve">, </w:t>
      </w:r>
      <w:r>
        <w:rPr>
          <w:rFonts w:ascii="Helvetica 55 Roman" w:hAnsi="Helvetica 55 Roman" w:cs="Times New Roman"/>
          <w:bCs/>
          <w:i w:val="0"/>
          <w:iCs w:val="0"/>
          <w:sz w:val="22"/>
          <w:szCs w:val="22"/>
          <w:lang w:val="de-DE" w:eastAsia="en-US"/>
        </w:rPr>
        <w:t>ein Rückgang von 3,</w:t>
      </w:r>
      <w:r w:rsidR="00672179" w:rsidRPr="00232656">
        <w:rPr>
          <w:rFonts w:ascii="Helvetica 55 Roman" w:hAnsi="Helvetica 55 Roman" w:cs="Times New Roman"/>
          <w:bCs/>
          <w:i w:val="0"/>
          <w:iCs w:val="0"/>
          <w:sz w:val="22"/>
          <w:szCs w:val="22"/>
          <w:lang w:val="de-DE" w:eastAsia="en-US"/>
        </w:rPr>
        <w:t xml:space="preserve">4 % </w:t>
      </w:r>
      <w:r>
        <w:rPr>
          <w:rFonts w:ascii="Helvetica 55 Roman" w:hAnsi="Helvetica 55 Roman" w:cs="Times New Roman"/>
          <w:bCs/>
          <w:i w:val="0"/>
          <w:iCs w:val="0"/>
          <w:sz w:val="22"/>
          <w:szCs w:val="22"/>
          <w:lang w:val="de-DE" w:eastAsia="en-US"/>
        </w:rPr>
        <w:t>gegenüber den 105.</w:t>
      </w:r>
      <w:r w:rsidR="00672179" w:rsidRPr="00232656">
        <w:rPr>
          <w:rFonts w:ascii="Helvetica 55 Roman" w:hAnsi="Helvetica 55 Roman" w:cs="Times New Roman"/>
          <w:bCs/>
          <w:i w:val="0"/>
          <w:iCs w:val="0"/>
          <w:sz w:val="22"/>
          <w:szCs w:val="22"/>
          <w:lang w:val="de-DE" w:eastAsia="en-US"/>
        </w:rPr>
        <w:t xml:space="preserve">805 </w:t>
      </w:r>
      <w:r>
        <w:rPr>
          <w:rFonts w:ascii="Helvetica 55 Roman" w:hAnsi="Helvetica 55 Roman" w:cs="Times New Roman"/>
          <w:bCs/>
          <w:i w:val="0"/>
          <w:iCs w:val="0"/>
          <w:sz w:val="22"/>
          <w:szCs w:val="22"/>
          <w:lang w:val="de-DE" w:eastAsia="en-US"/>
        </w:rPr>
        <w:t>aktiven Kunden welche ein Jahr früher verzeichnet wurden. Zieht man ein schwaches drittes Trimester in Betracht</w:t>
      </w:r>
      <w:r w:rsidR="007B6F56">
        <w:rPr>
          <w:rFonts w:ascii="Helvetica 55 Roman" w:hAnsi="Helvetica 55 Roman" w:cs="Times New Roman"/>
          <w:bCs/>
          <w:i w:val="0"/>
          <w:iCs w:val="0"/>
          <w:sz w:val="22"/>
          <w:szCs w:val="22"/>
          <w:lang w:val="de-DE" w:eastAsia="en-US"/>
        </w:rPr>
        <w:t>,</w:t>
      </w:r>
      <w:r>
        <w:rPr>
          <w:rFonts w:ascii="Helvetica 55 Roman" w:hAnsi="Helvetica 55 Roman" w:cs="Times New Roman"/>
          <w:bCs/>
          <w:i w:val="0"/>
          <w:iCs w:val="0"/>
          <w:sz w:val="22"/>
          <w:szCs w:val="22"/>
          <w:lang w:val="de-DE" w:eastAsia="en-US"/>
        </w:rPr>
        <w:t xml:space="preserve"> so hat sich die Zahl der Kunden im Laufe des vierten Trimesters wieder leicht erholt. Insbesondere hierzu Lande wohnende, abonnierte Kunden reagierten positiv gegen Jahresende auf die erfolgreichen, verbesserten Pauschalen, welche nun alle internationale Anrufe, Roaming, sowie 4G im Bereich der Spitzenangebote enthalten. Das </w:t>
      </w:r>
      <w:r w:rsidR="00672179" w:rsidRPr="00232656">
        <w:rPr>
          <w:rFonts w:ascii="Helvetica 55 Roman" w:hAnsi="Helvetica 55 Roman" w:cs="Times New Roman"/>
          <w:bCs/>
          <w:i w:val="0"/>
          <w:iCs w:val="0"/>
          <w:sz w:val="22"/>
          <w:szCs w:val="22"/>
          <w:lang w:val="de-DE" w:eastAsia="en-US"/>
        </w:rPr>
        <w:t xml:space="preserve">ARPU </w:t>
      </w:r>
      <w:r>
        <w:rPr>
          <w:rFonts w:ascii="Helvetica 55 Roman" w:hAnsi="Helvetica 55 Roman" w:cs="Times New Roman"/>
          <w:bCs/>
          <w:i w:val="0"/>
          <w:iCs w:val="0"/>
          <w:sz w:val="22"/>
          <w:szCs w:val="22"/>
          <w:lang w:val="de-DE" w:eastAsia="en-US"/>
        </w:rPr>
        <w:t>belief sich Ende 2013 auf 50,15 Euro p</w:t>
      </w:r>
      <w:r w:rsidR="00672179" w:rsidRPr="00232656">
        <w:rPr>
          <w:rFonts w:ascii="Helvetica 55 Roman" w:hAnsi="Helvetica 55 Roman" w:cs="Times New Roman"/>
          <w:bCs/>
          <w:i w:val="0"/>
          <w:iCs w:val="0"/>
          <w:sz w:val="22"/>
          <w:szCs w:val="22"/>
          <w:lang w:val="de-DE" w:eastAsia="en-US"/>
        </w:rPr>
        <w:t>r</w:t>
      </w:r>
      <w:r>
        <w:rPr>
          <w:rFonts w:ascii="Helvetica 55 Roman" w:hAnsi="Helvetica 55 Roman" w:cs="Times New Roman"/>
          <w:bCs/>
          <w:i w:val="0"/>
          <w:iCs w:val="0"/>
          <w:sz w:val="22"/>
          <w:szCs w:val="22"/>
          <w:lang w:val="de-DE" w:eastAsia="en-US"/>
        </w:rPr>
        <w:t>o Monat pro aktiver Kunde</w:t>
      </w:r>
      <w:r w:rsidR="00672179" w:rsidRPr="00232656">
        <w:rPr>
          <w:rFonts w:ascii="Helvetica 55 Roman" w:hAnsi="Helvetica 55 Roman" w:cs="Times New Roman"/>
          <w:bCs/>
          <w:i w:val="0"/>
          <w:iCs w:val="0"/>
          <w:sz w:val="22"/>
          <w:szCs w:val="22"/>
          <w:lang w:val="de-DE" w:eastAsia="en-US"/>
        </w:rPr>
        <w:t xml:space="preserve">, </w:t>
      </w:r>
      <w:r>
        <w:rPr>
          <w:rFonts w:ascii="Helvetica 55 Roman" w:hAnsi="Helvetica 55 Roman" w:cs="Times New Roman"/>
          <w:bCs/>
          <w:i w:val="0"/>
          <w:iCs w:val="0"/>
          <w:sz w:val="22"/>
          <w:szCs w:val="22"/>
          <w:lang w:val="de-DE" w:eastAsia="en-US"/>
        </w:rPr>
        <w:t>gegenüber 51,88 E</w:t>
      </w:r>
      <w:r w:rsidR="00672179" w:rsidRPr="00232656">
        <w:rPr>
          <w:rFonts w:ascii="Helvetica 55 Roman" w:hAnsi="Helvetica 55 Roman" w:cs="Times New Roman"/>
          <w:bCs/>
          <w:i w:val="0"/>
          <w:iCs w:val="0"/>
          <w:sz w:val="22"/>
          <w:szCs w:val="22"/>
          <w:lang w:val="de-DE" w:eastAsia="en-US"/>
        </w:rPr>
        <w:t xml:space="preserve">uro </w:t>
      </w:r>
      <w:r w:rsidR="00EC0FE7">
        <w:rPr>
          <w:rFonts w:ascii="Helvetica 55 Roman" w:hAnsi="Helvetica 55 Roman" w:cs="Times New Roman"/>
          <w:bCs/>
          <w:i w:val="0"/>
          <w:iCs w:val="0"/>
          <w:sz w:val="22"/>
          <w:szCs w:val="22"/>
          <w:lang w:val="de-DE" w:eastAsia="en-US"/>
        </w:rPr>
        <w:t>fü</w:t>
      </w:r>
      <w:r>
        <w:rPr>
          <w:rFonts w:ascii="Helvetica 55 Roman" w:hAnsi="Helvetica 55 Roman" w:cs="Times New Roman"/>
          <w:bCs/>
          <w:i w:val="0"/>
          <w:iCs w:val="0"/>
          <w:sz w:val="22"/>
          <w:szCs w:val="22"/>
          <w:lang w:val="de-DE" w:eastAsia="en-US"/>
        </w:rPr>
        <w:t xml:space="preserve">r den gleichen Zeitraum des Vorjahres. Der Rückgang des </w:t>
      </w:r>
      <w:r w:rsidR="00672179" w:rsidRPr="00232656">
        <w:rPr>
          <w:rFonts w:ascii="Helvetica 55 Roman" w:hAnsi="Helvetica 55 Roman" w:cs="Times New Roman"/>
          <w:bCs/>
          <w:i w:val="0"/>
          <w:iCs w:val="0"/>
          <w:sz w:val="22"/>
          <w:szCs w:val="22"/>
          <w:lang w:val="de-DE" w:eastAsia="en-US"/>
        </w:rPr>
        <w:t xml:space="preserve">ARPU </w:t>
      </w:r>
      <w:r>
        <w:rPr>
          <w:rFonts w:ascii="Helvetica 55 Roman" w:hAnsi="Helvetica 55 Roman" w:cs="Times New Roman"/>
          <w:bCs/>
          <w:i w:val="0"/>
          <w:iCs w:val="0"/>
          <w:sz w:val="22"/>
          <w:szCs w:val="22"/>
          <w:lang w:val="de-DE" w:eastAsia="en-US"/>
        </w:rPr>
        <w:t>erklärt sich aus geminderten Roaming Einnahmen, welche sich aus dem „</w:t>
      </w:r>
      <w:proofErr w:type="spellStart"/>
      <w:r w:rsidR="00672179" w:rsidRPr="00232656">
        <w:rPr>
          <w:rFonts w:ascii="Helvetica 55 Roman" w:hAnsi="Helvetica 55 Roman" w:cs="Times New Roman"/>
          <w:bCs/>
          <w:i w:val="0"/>
          <w:iCs w:val="0"/>
          <w:sz w:val="22"/>
          <w:szCs w:val="22"/>
          <w:lang w:val="de-DE" w:eastAsia="en-US"/>
        </w:rPr>
        <w:t>Hello</w:t>
      </w:r>
      <w:proofErr w:type="spellEnd"/>
      <w:r w:rsidR="00672179" w:rsidRPr="00232656">
        <w:rPr>
          <w:rFonts w:ascii="Helvetica 55 Roman" w:hAnsi="Helvetica 55 Roman" w:cs="Times New Roman"/>
          <w:bCs/>
          <w:i w:val="0"/>
          <w:iCs w:val="0"/>
          <w:sz w:val="22"/>
          <w:szCs w:val="22"/>
          <w:lang w:val="de-DE" w:eastAsia="en-US"/>
        </w:rPr>
        <w:t xml:space="preserve"> Europe</w:t>
      </w:r>
      <w:r>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 xml:space="preserve">Angebot (Anrufe und SMS im Roaming innerhalb der Pauschalen) </w:t>
      </w:r>
      <w:r>
        <w:rPr>
          <w:rFonts w:ascii="Helvetica 55 Roman" w:hAnsi="Helvetica 55 Roman" w:cs="Times New Roman"/>
          <w:bCs/>
          <w:i w:val="0"/>
          <w:iCs w:val="0"/>
          <w:sz w:val="22"/>
          <w:szCs w:val="22"/>
          <w:lang w:val="de-DE" w:eastAsia="en-US"/>
        </w:rPr>
        <w:t>ergeben</w:t>
      </w:r>
      <w:r w:rsidR="00EC0FE7">
        <w:rPr>
          <w:rFonts w:ascii="Helvetica 55 Roman" w:hAnsi="Helvetica 55 Roman" w:cs="Times New Roman"/>
          <w:bCs/>
          <w:i w:val="0"/>
          <w:iCs w:val="0"/>
          <w:sz w:val="22"/>
          <w:szCs w:val="22"/>
          <w:lang w:val="de-DE" w:eastAsia="en-US"/>
        </w:rPr>
        <w:t xml:space="preserve">, sowie der Einführung in Luxemburg von Angeboten welche sich auf </w:t>
      </w:r>
      <w:r w:rsidR="00672179" w:rsidRPr="00232656">
        <w:rPr>
          <w:rFonts w:ascii="Helvetica 55 Roman" w:hAnsi="Helvetica 55 Roman" w:cs="Times New Roman"/>
          <w:bCs/>
          <w:i w:val="0"/>
          <w:iCs w:val="0"/>
          <w:sz w:val="22"/>
          <w:szCs w:val="22"/>
          <w:lang w:val="de-DE" w:eastAsia="en-US"/>
        </w:rPr>
        <w:t>SIM-</w:t>
      </w:r>
      <w:r w:rsidR="00EC0FE7">
        <w:rPr>
          <w:rFonts w:ascii="Helvetica 55 Roman" w:hAnsi="Helvetica 55 Roman" w:cs="Times New Roman"/>
          <w:bCs/>
          <w:i w:val="0"/>
          <w:iCs w:val="0"/>
          <w:sz w:val="22"/>
          <w:szCs w:val="22"/>
          <w:lang w:val="de-DE" w:eastAsia="en-US"/>
        </w:rPr>
        <w:t xml:space="preserve">Karten beschränken. Im Bereich der Unternehmen konnte nach stürmischen, ersten 6 Monaten die Lage stabilisiert werden, unter anderem durch die Erneuerung von großen unternehmensweiten Rahmenverträgen, sowie der Einführung des </w:t>
      </w:r>
      <w:r w:rsidR="00802879">
        <w:rPr>
          <w:rFonts w:ascii="Helvetica 55 Roman" w:hAnsi="Helvetica 55 Roman" w:cs="Times New Roman"/>
          <w:bCs/>
          <w:i w:val="0"/>
          <w:iCs w:val="0"/>
          <w:sz w:val="22"/>
          <w:szCs w:val="22"/>
          <w:lang w:val="de-DE" w:eastAsia="en-US"/>
        </w:rPr>
        <w:t>„</w:t>
      </w:r>
      <w:proofErr w:type="spellStart"/>
      <w:r w:rsidR="00672179" w:rsidRPr="00232656">
        <w:rPr>
          <w:rFonts w:ascii="Helvetica 55 Roman" w:hAnsi="Helvetica 55 Roman" w:cs="Times New Roman"/>
          <w:bCs/>
          <w:i w:val="0"/>
          <w:iCs w:val="0"/>
          <w:sz w:val="22"/>
          <w:szCs w:val="22"/>
          <w:lang w:val="de-DE" w:eastAsia="en-US"/>
        </w:rPr>
        <w:t>smartpro</w:t>
      </w:r>
      <w:proofErr w:type="spellEnd"/>
      <w:r w:rsidR="00802879">
        <w:rPr>
          <w:rFonts w:ascii="Helvetica 55 Roman" w:hAnsi="Helvetica 55 Roman" w:cs="Times New Roman"/>
          <w:bCs/>
          <w:i w:val="0"/>
          <w:iCs w:val="0"/>
          <w:sz w:val="22"/>
          <w:szCs w:val="22"/>
          <w:lang w:val="de-DE" w:eastAsia="en-US"/>
        </w:rPr>
        <w:t>“</w:t>
      </w:r>
      <w:r w:rsidR="00672179"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Angebots in den</w:t>
      </w:r>
      <w:r w:rsidR="00672179" w:rsidRPr="00232656">
        <w:rPr>
          <w:rFonts w:ascii="Helvetica 55 Roman" w:hAnsi="Helvetica 55 Roman" w:cs="Times New Roman"/>
          <w:bCs/>
          <w:i w:val="0"/>
          <w:iCs w:val="0"/>
          <w:sz w:val="22"/>
          <w:szCs w:val="22"/>
          <w:lang w:val="de-DE" w:eastAsia="en-US"/>
        </w:rPr>
        <w:t xml:space="preserve"> 17 Orange </w:t>
      </w:r>
      <w:r w:rsidR="00EC0FE7">
        <w:rPr>
          <w:rFonts w:ascii="Helvetica 55 Roman" w:hAnsi="Helvetica 55 Roman" w:cs="Times New Roman"/>
          <w:bCs/>
          <w:i w:val="0"/>
          <w:iCs w:val="0"/>
          <w:sz w:val="22"/>
          <w:szCs w:val="22"/>
          <w:lang w:val="de-DE" w:eastAsia="en-US"/>
        </w:rPr>
        <w:t>Verkauf</w:t>
      </w:r>
      <w:r w:rsidR="007B6F56">
        <w:rPr>
          <w:rFonts w:ascii="Helvetica 55 Roman" w:hAnsi="Helvetica 55 Roman" w:cs="Times New Roman"/>
          <w:bCs/>
          <w:i w:val="0"/>
          <w:iCs w:val="0"/>
          <w:sz w:val="22"/>
          <w:szCs w:val="22"/>
          <w:lang w:val="de-DE" w:eastAsia="en-US"/>
        </w:rPr>
        <w:t>s</w:t>
      </w:r>
      <w:r w:rsidR="00EC0FE7">
        <w:rPr>
          <w:rFonts w:ascii="Helvetica 55 Roman" w:hAnsi="Helvetica 55 Roman" w:cs="Times New Roman"/>
          <w:bCs/>
          <w:i w:val="0"/>
          <w:iCs w:val="0"/>
          <w:sz w:val="22"/>
          <w:szCs w:val="22"/>
          <w:lang w:val="de-DE" w:eastAsia="en-US"/>
        </w:rPr>
        <w:t>stellen</w:t>
      </w:r>
      <w:r w:rsidR="00672179" w:rsidRPr="00232656">
        <w:rPr>
          <w:rFonts w:ascii="Helvetica 55 Roman" w:hAnsi="Helvetica 55 Roman" w:cs="Times New Roman"/>
          <w:bCs/>
          <w:i w:val="0"/>
          <w:iCs w:val="0"/>
          <w:sz w:val="22"/>
          <w:szCs w:val="22"/>
          <w:lang w:val="de-DE" w:eastAsia="en-US"/>
        </w:rPr>
        <w:t>.</w:t>
      </w:r>
    </w:p>
    <w:p w14:paraId="753F9A1B" w14:textId="77777777" w:rsidR="00672179" w:rsidRPr="00232656" w:rsidRDefault="00672179" w:rsidP="00672179">
      <w:pPr>
        <w:pStyle w:val="BodyTextIndent"/>
        <w:jc w:val="both"/>
        <w:rPr>
          <w:rFonts w:ascii="Helvetica 55 Roman" w:hAnsi="Helvetica 55 Roman" w:cs="Times New Roman"/>
          <w:bCs/>
          <w:i w:val="0"/>
          <w:iCs w:val="0"/>
          <w:sz w:val="22"/>
          <w:szCs w:val="22"/>
          <w:lang w:val="de-DE" w:eastAsia="en-US"/>
        </w:rPr>
      </w:pPr>
    </w:p>
    <w:p w14:paraId="2407F938" w14:textId="324B1DE7" w:rsidR="00672179" w:rsidRPr="00232656" w:rsidRDefault="00672179" w:rsidP="00672179">
      <w:pPr>
        <w:pStyle w:val="BodyTextIndent"/>
        <w:jc w:val="both"/>
        <w:rPr>
          <w:rFonts w:ascii="Helvetica 55 Roman" w:hAnsi="Helvetica 55 Roman" w:cs="Times New Roman"/>
          <w:bCs/>
          <w:i w:val="0"/>
          <w:iCs w:val="0"/>
          <w:sz w:val="22"/>
          <w:szCs w:val="22"/>
          <w:lang w:val="de-DE" w:eastAsia="en-US"/>
        </w:rPr>
      </w:pPr>
      <w:r w:rsidRPr="00232656">
        <w:rPr>
          <w:rFonts w:ascii="Helvetica 55 Roman" w:hAnsi="Helvetica 55 Roman" w:cs="Times New Roman"/>
          <w:bCs/>
          <w:i w:val="0"/>
          <w:iCs w:val="0"/>
          <w:sz w:val="22"/>
          <w:szCs w:val="22"/>
          <w:lang w:val="de-DE" w:eastAsia="en-US"/>
        </w:rPr>
        <w:t>S</w:t>
      </w:r>
      <w:r w:rsidR="00EC0FE7">
        <w:rPr>
          <w:rFonts w:ascii="Helvetica 55 Roman" w:hAnsi="Helvetica 55 Roman" w:cs="Times New Roman"/>
          <w:bCs/>
          <w:i w:val="0"/>
          <w:iCs w:val="0"/>
          <w:sz w:val="22"/>
          <w:szCs w:val="22"/>
          <w:lang w:val="de-DE" w:eastAsia="en-US"/>
        </w:rPr>
        <w:t>eit Ok</w:t>
      </w:r>
      <w:r w:rsidRPr="00232656">
        <w:rPr>
          <w:rFonts w:ascii="Helvetica 55 Roman" w:hAnsi="Helvetica 55 Roman" w:cs="Times New Roman"/>
          <w:bCs/>
          <w:i w:val="0"/>
          <w:iCs w:val="0"/>
          <w:sz w:val="22"/>
          <w:szCs w:val="22"/>
          <w:lang w:val="de-DE" w:eastAsia="en-US"/>
        </w:rPr>
        <w:t xml:space="preserve">tober 2013, </w:t>
      </w:r>
      <w:r w:rsidR="00EC0FE7">
        <w:rPr>
          <w:rFonts w:ascii="Helvetica 55 Roman" w:hAnsi="Helvetica 55 Roman" w:cs="Times New Roman"/>
          <w:bCs/>
          <w:i w:val="0"/>
          <w:iCs w:val="0"/>
          <w:sz w:val="22"/>
          <w:szCs w:val="22"/>
          <w:lang w:val="de-DE" w:eastAsia="en-US"/>
        </w:rPr>
        <w:t xml:space="preserve">bietet </w:t>
      </w:r>
      <w:r w:rsidRPr="00232656">
        <w:rPr>
          <w:rFonts w:ascii="Helvetica 55 Roman" w:hAnsi="Helvetica 55 Roman" w:cs="Times New Roman"/>
          <w:bCs/>
          <w:i w:val="0"/>
          <w:iCs w:val="0"/>
          <w:sz w:val="22"/>
          <w:szCs w:val="22"/>
          <w:lang w:val="de-DE" w:eastAsia="en-US"/>
        </w:rPr>
        <w:t xml:space="preserve">Orange Communications Luxembourg </w:t>
      </w:r>
      <w:r w:rsidR="00EC0FE7">
        <w:rPr>
          <w:rFonts w:ascii="Helvetica 55 Roman" w:hAnsi="Helvetica 55 Roman" w:cs="Times New Roman"/>
          <w:bCs/>
          <w:i w:val="0"/>
          <w:iCs w:val="0"/>
          <w:sz w:val="22"/>
          <w:szCs w:val="22"/>
          <w:lang w:val="de-DE" w:eastAsia="en-US"/>
        </w:rPr>
        <w:t xml:space="preserve">seinen Kunden </w:t>
      </w:r>
      <w:r w:rsidRPr="00232656">
        <w:rPr>
          <w:rFonts w:ascii="Helvetica 55 Roman" w:hAnsi="Helvetica 55 Roman" w:cs="Times New Roman"/>
          <w:bCs/>
          <w:i w:val="0"/>
          <w:iCs w:val="0"/>
          <w:sz w:val="22"/>
          <w:szCs w:val="22"/>
          <w:lang w:val="de-DE" w:eastAsia="en-US"/>
        </w:rPr>
        <w:t xml:space="preserve">4G </w:t>
      </w:r>
      <w:r w:rsidR="00EC0FE7">
        <w:rPr>
          <w:rFonts w:ascii="Helvetica 55 Roman" w:hAnsi="Helvetica 55 Roman" w:cs="Times New Roman"/>
          <w:bCs/>
          <w:i w:val="0"/>
          <w:iCs w:val="0"/>
          <w:sz w:val="22"/>
          <w:szCs w:val="22"/>
          <w:lang w:val="de-DE" w:eastAsia="en-US"/>
        </w:rPr>
        <w:t>im Rahmen einiger Pauschaltarife. 4G ist unter anderem enthalten in den „</w:t>
      </w:r>
      <w:proofErr w:type="spellStart"/>
      <w:r w:rsidRPr="00232656">
        <w:rPr>
          <w:rFonts w:ascii="Helvetica 55 Roman" w:hAnsi="Helvetica 55 Roman" w:cs="Times New Roman"/>
          <w:bCs/>
          <w:i w:val="0"/>
          <w:iCs w:val="0"/>
          <w:sz w:val="22"/>
          <w:szCs w:val="22"/>
          <w:lang w:val="de-DE" w:eastAsia="en-US"/>
        </w:rPr>
        <w:t>Hello</w:t>
      </w:r>
      <w:proofErr w:type="spellEnd"/>
      <w:r w:rsidRPr="00232656">
        <w:rPr>
          <w:rFonts w:ascii="Helvetica 55 Roman" w:hAnsi="Helvetica 55 Roman" w:cs="Times New Roman"/>
          <w:bCs/>
          <w:i w:val="0"/>
          <w:iCs w:val="0"/>
          <w:sz w:val="22"/>
          <w:szCs w:val="22"/>
          <w:lang w:val="de-DE" w:eastAsia="en-US"/>
        </w:rPr>
        <w:t xml:space="preserve"> Europe Flat Surf</w:t>
      </w:r>
      <w:r w:rsidR="00EC0FE7">
        <w:rPr>
          <w:rFonts w:ascii="Helvetica 55 Roman" w:hAnsi="Helvetica 55 Roman" w:cs="Times New Roman"/>
          <w:bCs/>
          <w:i w:val="0"/>
          <w:iCs w:val="0"/>
          <w:sz w:val="22"/>
          <w:szCs w:val="22"/>
          <w:lang w:val="de-DE" w:eastAsia="en-US"/>
        </w:rPr>
        <w:t>“</w:t>
      </w:r>
      <w:r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und</w:t>
      </w:r>
      <w:r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w:t>
      </w:r>
      <w:proofErr w:type="spellStart"/>
      <w:r w:rsidRPr="00232656">
        <w:rPr>
          <w:rFonts w:ascii="Helvetica 55 Roman" w:hAnsi="Helvetica 55 Roman" w:cs="Times New Roman"/>
          <w:bCs/>
          <w:i w:val="0"/>
          <w:iCs w:val="0"/>
          <w:sz w:val="22"/>
          <w:szCs w:val="22"/>
          <w:lang w:val="de-DE" w:eastAsia="en-US"/>
        </w:rPr>
        <w:t>Hello</w:t>
      </w:r>
      <w:proofErr w:type="spellEnd"/>
      <w:r w:rsidRPr="00232656">
        <w:rPr>
          <w:rFonts w:ascii="Helvetica 55 Roman" w:hAnsi="Helvetica 55 Roman" w:cs="Times New Roman"/>
          <w:bCs/>
          <w:i w:val="0"/>
          <w:iCs w:val="0"/>
          <w:sz w:val="22"/>
          <w:szCs w:val="22"/>
          <w:lang w:val="de-DE" w:eastAsia="en-US"/>
        </w:rPr>
        <w:t xml:space="preserve"> Europe All </w:t>
      </w:r>
      <w:proofErr w:type="spellStart"/>
      <w:r w:rsidRPr="00232656">
        <w:rPr>
          <w:rFonts w:ascii="Helvetica 55 Roman" w:hAnsi="Helvetica 55 Roman" w:cs="Times New Roman"/>
          <w:bCs/>
          <w:i w:val="0"/>
          <w:iCs w:val="0"/>
          <w:sz w:val="22"/>
          <w:szCs w:val="22"/>
          <w:lang w:val="de-DE" w:eastAsia="en-US"/>
        </w:rPr>
        <w:t>Inclusive</w:t>
      </w:r>
      <w:proofErr w:type="spellEnd"/>
      <w:r w:rsidR="00EC0FE7">
        <w:rPr>
          <w:rFonts w:ascii="Helvetica 55 Roman" w:hAnsi="Helvetica 55 Roman" w:cs="Times New Roman"/>
          <w:bCs/>
          <w:i w:val="0"/>
          <w:iCs w:val="0"/>
          <w:sz w:val="22"/>
          <w:szCs w:val="22"/>
          <w:lang w:val="de-DE" w:eastAsia="en-US"/>
        </w:rPr>
        <w:t>“</w:t>
      </w:r>
      <w:r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Pauschalen</w:t>
      </w:r>
      <w:r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 xml:space="preserve">Kunden können aber auch 4G mit anderen Abos aktivieren. Außerdem ist </w:t>
      </w:r>
      <w:r w:rsidRPr="00232656">
        <w:rPr>
          <w:rFonts w:ascii="Helvetica 55 Roman" w:hAnsi="Helvetica 55 Roman" w:cs="Times New Roman"/>
          <w:bCs/>
          <w:i w:val="0"/>
          <w:iCs w:val="0"/>
          <w:sz w:val="22"/>
          <w:szCs w:val="22"/>
          <w:lang w:val="de-DE" w:eastAsia="en-US"/>
        </w:rPr>
        <w:t xml:space="preserve">4G </w:t>
      </w:r>
      <w:r w:rsidR="00EC0FE7">
        <w:rPr>
          <w:rFonts w:ascii="Helvetica 55 Roman" w:hAnsi="Helvetica 55 Roman" w:cs="Times New Roman"/>
          <w:bCs/>
          <w:i w:val="0"/>
          <w:iCs w:val="0"/>
          <w:sz w:val="22"/>
          <w:szCs w:val="22"/>
          <w:lang w:val="de-DE" w:eastAsia="en-US"/>
        </w:rPr>
        <w:t>erhältlich für „</w:t>
      </w:r>
      <w:r w:rsidRPr="00232656">
        <w:rPr>
          <w:rFonts w:ascii="Helvetica 55 Roman" w:hAnsi="Helvetica 55 Roman" w:cs="Times New Roman"/>
          <w:bCs/>
          <w:i w:val="0"/>
          <w:iCs w:val="0"/>
          <w:sz w:val="22"/>
          <w:szCs w:val="22"/>
          <w:lang w:val="de-DE" w:eastAsia="en-US"/>
        </w:rPr>
        <w:t xml:space="preserve">Internet </w:t>
      </w:r>
      <w:proofErr w:type="spellStart"/>
      <w:r w:rsidRPr="00232656">
        <w:rPr>
          <w:rFonts w:ascii="Helvetica 55 Roman" w:hAnsi="Helvetica 55 Roman" w:cs="Times New Roman"/>
          <w:bCs/>
          <w:i w:val="0"/>
          <w:iCs w:val="0"/>
          <w:sz w:val="22"/>
          <w:szCs w:val="22"/>
          <w:lang w:val="de-DE" w:eastAsia="en-US"/>
        </w:rPr>
        <w:t>Everywhere</w:t>
      </w:r>
      <w:proofErr w:type="spellEnd"/>
      <w:r w:rsidR="00CE355E" w:rsidRPr="00232656">
        <w:rPr>
          <w:rFonts w:ascii="Helvetica 55 Roman" w:hAnsi="Helvetica 55 Roman" w:cs="Times New Roman"/>
          <w:bCs/>
          <w:i w:val="0"/>
          <w:iCs w:val="0"/>
          <w:sz w:val="22"/>
          <w:szCs w:val="22"/>
          <w:lang w:val="de-DE" w:eastAsia="en-US"/>
        </w:rPr>
        <w:t xml:space="preserve">” </w:t>
      </w:r>
      <w:r w:rsidR="00EC0FE7">
        <w:rPr>
          <w:rFonts w:ascii="Helvetica 55 Roman" w:hAnsi="Helvetica 55 Roman" w:cs="Times New Roman"/>
          <w:bCs/>
          <w:i w:val="0"/>
          <w:iCs w:val="0"/>
          <w:sz w:val="22"/>
          <w:szCs w:val="22"/>
          <w:lang w:val="de-DE" w:eastAsia="en-US"/>
        </w:rPr>
        <w:t>Pauschalen</w:t>
      </w:r>
      <w:r w:rsidR="00C6708B">
        <w:rPr>
          <w:rFonts w:ascii="Helvetica 55 Roman" w:hAnsi="Helvetica 55 Roman" w:cs="Times New Roman"/>
          <w:bCs/>
          <w:i w:val="0"/>
          <w:iCs w:val="0"/>
          <w:sz w:val="22"/>
          <w:szCs w:val="22"/>
          <w:lang w:val="de-DE" w:eastAsia="en-US"/>
        </w:rPr>
        <w:t>, welche es Kunden erlauben auf ihren Notebooks und Tabletts das 4G Netzwerk zu nutzen. Das Unternehmen hat die Ausbreitung des 4G Netzwerks beschleunigt und beabsichtigt bis Anfang 2015 90% der Bevölkerung abzudecken</w:t>
      </w:r>
      <w:r w:rsidRPr="00232656">
        <w:rPr>
          <w:rFonts w:ascii="Helvetica 55 Roman" w:hAnsi="Helvetica 55 Roman" w:cs="Times New Roman"/>
          <w:bCs/>
          <w:i w:val="0"/>
          <w:iCs w:val="0"/>
          <w:sz w:val="22"/>
          <w:szCs w:val="22"/>
          <w:lang w:val="de-DE" w:eastAsia="en-US"/>
        </w:rPr>
        <w:t>.</w:t>
      </w:r>
    </w:p>
    <w:p w14:paraId="79A475E0" w14:textId="77777777" w:rsidR="00991BB1" w:rsidRPr="00232656" w:rsidRDefault="00991BB1" w:rsidP="00672179">
      <w:pPr>
        <w:pStyle w:val="BodyTextIndent"/>
        <w:jc w:val="both"/>
        <w:rPr>
          <w:rFonts w:ascii="Helvetica 55 Roman" w:hAnsi="Helvetica 55 Roman" w:cs="Times New Roman"/>
          <w:bCs/>
          <w:i w:val="0"/>
          <w:iCs w:val="0"/>
          <w:sz w:val="22"/>
          <w:szCs w:val="22"/>
          <w:lang w:val="de-DE" w:eastAsia="en-US"/>
        </w:rPr>
      </w:pPr>
    </w:p>
    <w:p w14:paraId="354B05EA" w14:textId="573EE81E" w:rsidR="00672179" w:rsidRPr="00232656" w:rsidRDefault="00672179" w:rsidP="00672179">
      <w:pPr>
        <w:pStyle w:val="BodyTextIndent"/>
        <w:jc w:val="both"/>
        <w:rPr>
          <w:rFonts w:ascii="Helvetica 55 Roman" w:hAnsi="Helvetica 55 Roman" w:cs="Times New Roman"/>
          <w:bCs/>
          <w:i w:val="0"/>
          <w:iCs w:val="0"/>
          <w:sz w:val="22"/>
          <w:szCs w:val="22"/>
          <w:lang w:val="de-DE" w:eastAsia="en-US"/>
        </w:rPr>
      </w:pPr>
      <w:r w:rsidRPr="00232656">
        <w:rPr>
          <w:rFonts w:ascii="Helvetica 55 Roman" w:hAnsi="Helvetica 55 Roman" w:cs="Times New Roman"/>
          <w:bCs/>
          <w:i w:val="0"/>
          <w:iCs w:val="0"/>
          <w:sz w:val="22"/>
          <w:szCs w:val="22"/>
          <w:lang w:val="de-DE" w:eastAsia="en-US"/>
        </w:rPr>
        <w:t>I</w:t>
      </w:r>
      <w:r w:rsidR="00C6708B">
        <w:rPr>
          <w:rFonts w:ascii="Helvetica 55 Roman" w:hAnsi="Helvetica 55 Roman" w:cs="Times New Roman"/>
          <w:bCs/>
          <w:i w:val="0"/>
          <w:iCs w:val="0"/>
          <w:sz w:val="22"/>
          <w:szCs w:val="22"/>
          <w:lang w:val="de-DE" w:eastAsia="en-US"/>
        </w:rPr>
        <w:t xml:space="preserve">m </w:t>
      </w:r>
      <w:r w:rsidRPr="00232656">
        <w:rPr>
          <w:rFonts w:ascii="Helvetica 55 Roman" w:hAnsi="Helvetica 55 Roman" w:cs="Times New Roman"/>
          <w:bCs/>
          <w:i w:val="0"/>
          <w:iCs w:val="0"/>
          <w:sz w:val="22"/>
          <w:szCs w:val="22"/>
          <w:lang w:val="de-DE" w:eastAsia="en-US"/>
        </w:rPr>
        <w:t xml:space="preserve">November 2013, </w:t>
      </w:r>
      <w:r w:rsidR="00C6708B">
        <w:rPr>
          <w:rFonts w:ascii="Helvetica 55 Roman" w:hAnsi="Helvetica 55 Roman" w:cs="Times New Roman"/>
          <w:bCs/>
          <w:i w:val="0"/>
          <w:iCs w:val="0"/>
          <w:sz w:val="22"/>
          <w:szCs w:val="22"/>
          <w:lang w:val="de-DE" w:eastAsia="en-US"/>
        </w:rPr>
        <w:t xml:space="preserve">hat </w:t>
      </w:r>
      <w:r w:rsidRPr="00232656">
        <w:rPr>
          <w:rFonts w:ascii="Helvetica 55 Roman" w:hAnsi="Helvetica 55 Roman" w:cs="Times New Roman"/>
          <w:bCs/>
          <w:i w:val="0"/>
          <w:iCs w:val="0"/>
          <w:sz w:val="22"/>
          <w:szCs w:val="22"/>
          <w:lang w:val="de-DE" w:eastAsia="en-US"/>
        </w:rPr>
        <w:t xml:space="preserve">Orange Communications Luxembourg </w:t>
      </w:r>
      <w:r w:rsidR="00C6708B">
        <w:rPr>
          <w:rFonts w:ascii="Helvetica 55 Roman" w:hAnsi="Helvetica 55 Roman" w:cs="Times New Roman"/>
          <w:bCs/>
          <w:i w:val="0"/>
          <w:iCs w:val="0"/>
          <w:sz w:val="22"/>
          <w:szCs w:val="22"/>
          <w:lang w:val="de-DE" w:eastAsia="en-US"/>
        </w:rPr>
        <w:t>angefangen</w:t>
      </w:r>
      <w:r w:rsidR="007B6F56">
        <w:rPr>
          <w:rFonts w:ascii="Helvetica 55 Roman" w:hAnsi="Helvetica 55 Roman" w:cs="Times New Roman"/>
          <w:bCs/>
          <w:i w:val="0"/>
          <w:iCs w:val="0"/>
          <w:sz w:val="22"/>
          <w:szCs w:val="22"/>
          <w:lang w:val="de-DE" w:eastAsia="en-US"/>
        </w:rPr>
        <w:t>,</w:t>
      </w:r>
      <w:r w:rsidR="00C6708B">
        <w:rPr>
          <w:rFonts w:ascii="Helvetica 55 Roman" w:hAnsi="Helvetica 55 Roman" w:cs="Times New Roman"/>
          <w:bCs/>
          <w:i w:val="0"/>
          <w:iCs w:val="0"/>
          <w:sz w:val="22"/>
          <w:szCs w:val="22"/>
          <w:lang w:val="de-DE" w:eastAsia="en-US"/>
        </w:rPr>
        <w:t xml:space="preserve"> das mit dem Kabelbetreiber </w:t>
      </w:r>
      <w:proofErr w:type="spellStart"/>
      <w:r w:rsidR="00C6708B">
        <w:rPr>
          <w:rFonts w:ascii="Helvetica 55 Roman" w:hAnsi="Helvetica 55 Roman" w:cs="Times New Roman"/>
          <w:bCs/>
          <w:i w:val="0"/>
          <w:iCs w:val="0"/>
          <w:sz w:val="22"/>
          <w:szCs w:val="22"/>
          <w:lang w:val="de-DE" w:eastAsia="en-US"/>
        </w:rPr>
        <w:t>Eltrona</w:t>
      </w:r>
      <w:proofErr w:type="spellEnd"/>
      <w:r w:rsidR="00C6708B">
        <w:rPr>
          <w:rFonts w:ascii="Helvetica 55 Roman" w:hAnsi="Helvetica 55 Roman" w:cs="Times New Roman"/>
          <w:bCs/>
          <w:i w:val="0"/>
          <w:iCs w:val="0"/>
          <w:sz w:val="22"/>
          <w:szCs w:val="22"/>
          <w:lang w:val="de-DE" w:eastAsia="en-US"/>
        </w:rPr>
        <w:t xml:space="preserve"> </w:t>
      </w:r>
      <w:proofErr w:type="spellStart"/>
      <w:r w:rsidR="00C6708B">
        <w:rPr>
          <w:rFonts w:ascii="Helvetica 55 Roman" w:hAnsi="Helvetica 55 Roman" w:cs="Times New Roman"/>
          <w:bCs/>
          <w:i w:val="0"/>
          <w:iCs w:val="0"/>
          <w:sz w:val="22"/>
          <w:szCs w:val="22"/>
          <w:lang w:val="de-DE" w:eastAsia="en-US"/>
        </w:rPr>
        <w:t>Telcom</w:t>
      </w:r>
      <w:proofErr w:type="spellEnd"/>
      <w:r w:rsidR="00C6708B">
        <w:rPr>
          <w:rFonts w:ascii="Helvetica 55 Roman" w:hAnsi="Helvetica 55 Roman" w:cs="Times New Roman"/>
          <w:bCs/>
          <w:i w:val="0"/>
          <w:iCs w:val="0"/>
          <w:sz w:val="22"/>
          <w:szCs w:val="22"/>
          <w:lang w:val="de-DE" w:eastAsia="en-US"/>
        </w:rPr>
        <w:t xml:space="preserve"> geschlossene Abkommen in konkrete Angebote einzubinden und so seinen Kunden konvergierende Dienstleistungen zu bieten, welche mobile und Festnetztelefonie, Breitbandinternetzugang mobil und über Kabel, sowie ein völlig neues Fernsehangebot, enthalten. Die ersten Ergebnisse sind vielversprechend, weil fast 30% der Kunden dieses vielfachen Angebots noch keine Orange </w:t>
      </w:r>
      <w:r w:rsidR="00C6708B" w:rsidRPr="00232656">
        <w:rPr>
          <w:rFonts w:ascii="Helvetica 55 Roman" w:hAnsi="Helvetica 55 Roman" w:cs="Times New Roman"/>
          <w:bCs/>
          <w:i w:val="0"/>
          <w:iCs w:val="0"/>
          <w:sz w:val="22"/>
          <w:szCs w:val="22"/>
          <w:lang w:val="de-DE" w:eastAsia="en-US"/>
        </w:rPr>
        <w:t>Communications Luxembourg</w:t>
      </w:r>
      <w:r w:rsidR="00C6708B">
        <w:rPr>
          <w:rFonts w:ascii="Helvetica 55 Roman" w:hAnsi="Helvetica 55 Roman" w:cs="Times New Roman"/>
          <w:bCs/>
          <w:i w:val="0"/>
          <w:iCs w:val="0"/>
          <w:sz w:val="22"/>
          <w:szCs w:val="22"/>
          <w:lang w:val="de-DE" w:eastAsia="en-US"/>
        </w:rPr>
        <w:t xml:space="preserve"> Mobilfunkkunden waren.</w:t>
      </w:r>
    </w:p>
    <w:p w14:paraId="1A2EBF72" w14:textId="77777777" w:rsidR="00F16AB2" w:rsidRPr="00232656" w:rsidRDefault="00F16AB2" w:rsidP="00672179">
      <w:pPr>
        <w:pStyle w:val="BodyTextIndent"/>
        <w:jc w:val="both"/>
        <w:rPr>
          <w:rFonts w:ascii="Helvetica 55 Roman" w:hAnsi="Helvetica 55 Roman" w:cs="Times New Roman"/>
          <w:bCs/>
          <w:i w:val="0"/>
          <w:iCs w:val="0"/>
          <w:sz w:val="22"/>
          <w:szCs w:val="22"/>
          <w:lang w:val="de-DE" w:eastAsia="en-US"/>
        </w:rPr>
      </w:pPr>
    </w:p>
    <w:p w14:paraId="0E733F4D" w14:textId="3CE0EBC1" w:rsidR="00F16AB2" w:rsidRPr="00232656" w:rsidRDefault="00C6708B" w:rsidP="00672179">
      <w:pPr>
        <w:pStyle w:val="BodyTextIndent"/>
        <w:jc w:val="both"/>
        <w:rPr>
          <w:rFonts w:ascii="Helvetica 55 Roman" w:hAnsi="Helvetica 55 Roman" w:cs="Times New Roman"/>
          <w:bCs/>
          <w:i w:val="0"/>
          <w:iCs w:val="0"/>
          <w:sz w:val="22"/>
          <w:szCs w:val="22"/>
          <w:lang w:val="de-DE" w:eastAsia="en-US"/>
        </w:rPr>
      </w:pPr>
      <w:r>
        <w:rPr>
          <w:rFonts w:ascii="Helvetica 55 Roman" w:hAnsi="Helvetica 55 Roman" w:cs="Times New Roman"/>
          <w:bCs/>
          <w:i w:val="0"/>
          <w:iCs w:val="0"/>
          <w:sz w:val="22"/>
          <w:szCs w:val="22"/>
          <w:lang w:val="de-DE" w:eastAsia="en-US"/>
        </w:rPr>
        <w:t xml:space="preserve">Im Bereich Netzwerk wurden </w:t>
      </w:r>
      <w:r w:rsidR="007B6F56">
        <w:rPr>
          <w:rFonts w:ascii="Helvetica 55 Roman" w:hAnsi="Helvetica 55 Roman" w:cs="Times New Roman"/>
          <w:bCs/>
          <w:i w:val="0"/>
          <w:iCs w:val="0"/>
          <w:sz w:val="22"/>
          <w:szCs w:val="22"/>
          <w:lang w:val="de-DE" w:eastAsia="en-US"/>
        </w:rPr>
        <w:t xml:space="preserve">2013 </w:t>
      </w:r>
      <w:r>
        <w:rPr>
          <w:rFonts w:ascii="Helvetica 55 Roman" w:hAnsi="Helvetica 55 Roman" w:cs="Times New Roman"/>
          <w:bCs/>
          <w:i w:val="0"/>
          <w:iCs w:val="0"/>
          <w:sz w:val="22"/>
          <w:szCs w:val="22"/>
          <w:lang w:val="de-DE" w:eastAsia="en-US"/>
        </w:rPr>
        <w:t>nicht weniger als 18 neue Sendestationen, mit insgesamt</w:t>
      </w:r>
      <w:r w:rsidR="0095227B" w:rsidRPr="00232656">
        <w:rPr>
          <w:rFonts w:ascii="Helvetica 55 Roman" w:hAnsi="Helvetica 55 Roman" w:cs="Times New Roman"/>
          <w:bCs/>
          <w:i w:val="0"/>
          <w:iCs w:val="0"/>
          <w:sz w:val="22"/>
          <w:szCs w:val="22"/>
          <w:lang w:val="de-DE" w:eastAsia="en-US"/>
        </w:rPr>
        <w:t xml:space="preserve"> </w:t>
      </w:r>
      <w:r w:rsidR="007B6F56">
        <w:rPr>
          <w:rFonts w:ascii="Helvetica 55 Roman" w:hAnsi="Helvetica 55 Roman" w:cs="Times New Roman"/>
          <w:bCs/>
          <w:i w:val="0"/>
          <w:iCs w:val="0"/>
          <w:sz w:val="22"/>
          <w:szCs w:val="22"/>
          <w:lang w:val="de-DE" w:eastAsia="en-US"/>
        </w:rPr>
        <w:t xml:space="preserve">46 Antennen </w:t>
      </w:r>
      <w:r>
        <w:rPr>
          <w:rFonts w:ascii="Helvetica 55 Roman" w:hAnsi="Helvetica 55 Roman" w:cs="Times New Roman"/>
          <w:bCs/>
          <w:i w:val="0"/>
          <w:iCs w:val="0"/>
          <w:sz w:val="22"/>
          <w:szCs w:val="22"/>
          <w:lang w:val="de-DE" w:eastAsia="en-US"/>
        </w:rPr>
        <w:t xml:space="preserve">im Land eingerichtet, mit dem Ziel die Abdeckung zu verbessern und </w:t>
      </w:r>
      <w:r w:rsidR="003C614F">
        <w:rPr>
          <w:rFonts w:ascii="Helvetica 55 Roman" w:hAnsi="Helvetica 55 Roman" w:cs="Times New Roman"/>
          <w:bCs/>
          <w:i w:val="0"/>
          <w:iCs w:val="0"/>
          <w:sz w:val="22"/>
          <w:szCs w:val="22"/>
          <w:lang w:val="de-DE" w:eastAsia="en-US"/>
        </w:rPr>
        <w:t>beste Verbindungen in den neuesten technischen Standards, bei weniger Energieverbrauch, insbesondere im Hinblick auf die stark zunehmenden Datentransfers im Land, zu gewährleisten. Dieses Programm wird auch 2014 fortgeführt.</w:t>
      </w:r>
    </w:p>
    <w:p w14:paraId="76501A00" w14:textId="77777777" w:rsidR="00672179" w:rsidRPr="00232656" w:rsidRDefault="00672179" w:rsidP="00DF1464">
      <w:pPr>
        <w:jc w:val="both"/>
        <w:rPr>
          <w:rFonts w:ascii="HelveticaNeueLT Std" w:eastAsia="Times New Roman" w:hAnsi="HelveticaNeueLT Std"/>
          <w:lang w:val="de-DE"/>
        </w:rPr>
      </w:pPr>
    </w:p>
    <w:p w14:paraId="7A027891" w14:textId="3C22FFE6" w:rsidR="00AA359B" w:rsidRPr="00232656" w:rsidRDefault="00672179" w:rsidP="00DF1464">
      <w:pPr>
        <w:jc w:val="both"/>
        <w:rPr>
          <w:rFonts w:ascii="Helvetica 55 Roman" w:eastAsia="Times New Roman" w:hAnsi="Helvetica 55 Roman"/>
          <w:i/>
          <w:lang w:val="de-DE"/>
        </w:rPr>
      </w:pPr>
      <w:r w:rsidRPr="00232656">
        <w:rPr>
          <w:rFonts w:ascii="HelveticaNeueLT Std" w:eastAsia="Times New Roman" w:hAnsi="HelveticaNeueLT Std"/>
          <w:i/>
          <w:lang w:val="de-DE"/>
        </w:rPr>
        <w:t xml:space="preserve"> </w:t>
      </w:r>
      <w:r w:rsidR="003C614F">
        <w:rPr>
          <w:rFonts w:ascii="HelveticaNeueLT Std" w:eastAsia="Times New Roman" w:hAnsi="HelveticaNeueLT Std"/>
          <w:i/>
          <w:lang w:val="de-DE"/>
        </w:rPr>
        <w:t xml:space="preserve">„Unseren Kunden, ihren Bedürfnissen entsprechend, die letzten Innovationen zu bieten, sei es im Bereich Netzwerk, Dienstleistungen und Tarife, insbesondere was das Roaming anbelangt, sind Teil unseres Konsolidierungsbestrebens, das unser Wachstum in </w:t>
      </w:r>
      <w:r w:rsidR="003C614F">
        <w:rPr>
          <w:rFonts w:ascii="HelveticaNeueLT Std" w:eastAsia="Times New Roman" w:hAnsi="HelveticaNeueLT Std"/>
          <w:i/>
          <w:lang w:val="de-DE"/>
        </w:rPr>
        <w:lastRenderedPageBreak/>
        <w:t xml:space="preserve">Luxemburg sicherstellen soll. In einem gesättigten Markt ist es umso wichtiger den Kunden die neuesten Dienste und Technologien </w:t>
      </w:r>
      <w:r w:rsidR="000D406C">
        <w:rPr>
          <w:rFonts w:ascii="HelveticaNeueLT Std" w:eastAsia="Times New Roman" w:hAnsi="HelveticaNeueLT Std"/>
          <w:i/>
          <w:lang w:val="de-DE"/>
        </w:rPr>
        <w:t xml:space="preserve">zu bieten, hochwertige Dienstleistungen </w:t>
      </w:r>
      <w:r w:rsidR="003C614F">
        <w:rPr>
          <w:rFonts w:ascii="HelveticaNeueLT Std" w:eastAsia="Times New Roman" w:hAnsi="HelveticaNeueLT Std"/>
          <w:i/>
          <w:lang w:val="de-DE"/>
        </w:rPr>
        <w:t xml:space="preserve">zu einem guten Preis/Leistungsverhältnis. Unsere Ambition als Marke ist es europäisch zu sein, mit starken Luxemburger Wurzeln. </w:t>
      </w:r>
      <w:r w:rsidR="00B232A6">
        <w:rPr>
          <w:rFonts w:ascii="HelveticaNeueLT Std" w:eastAsia="Times New Roman" w:hAnsi="HelveticaNeueLT Std"/>
          <w:i/>
          <w:lang w:val="de-DE"/>
        </w:rPr>
        <w:t>Dies erklärt wieso wir immer für Partnerschaften mit Luxemburger Unternehmen offen sind</w:t>
      </w:r>
      <w:r w:rsidR="007B6F56">
        <w:rPr>
          <w:rFonts w:ascii="HelveticaNeueLT Std" w:eastAsia="Times New Roman" w:hAnsi="HelveticaNeueLT Std"/>
          <w:i/>
          <w:lang w:val="de-DE"/>
        </w:rPr>
        <w:t>,</w:t>
      </w:r>
      <w:r w:rsidR="00B232A6">
        <w:rPr>
          <w:rFonts w:ascii="HelveticaNeueLT Std" w:eastAsia="Times New Roman" w:hAnsi="HelveticaNeueLT Std"/>
          <w:i/>
          <w:lang w:val="de-DE"/>
        </w:rPr>
        <w:t>“</w:t>
      </w:r>
      <w:r w:rsidR="00B01DDF" w:rsidRPr="00232656">
        <w:rPr>
          <w:rFonts w:ascii="Helvetica 55 Roman" w:eastAsia="Times New Roman" w:hAnsi="Helvetica 55 Roman"/>
          <w:i/>
          <w:lang w:val="de-DE"/>
        </w:rPr>
        <w:t xml:space="preserve"> </w:t>
      </w:r>
      <w:r w:rsidR="00B232A6">
        <w:rPr>
          <w:rFonts w:ascii="Helvetica 55 Roman" w:eastAsia="Times New Roman" w:hAnsi="Helvetica 55 Roman"/>
          <w:lang w:val="de-DE"/>
        </w:rPr>
        <w:t>sagt</w:t>
      </w:r>
      <w:r w:rsidR="007B6F56">
        <w:rPr>
          <w:rFonts w:ascii="Helvetica 55 Roman" w:eastAsia="Times New Roman" w:hAnsi="Helvetica 55 Roman"/>
          <w:lang w:val="de-DE"/>
        </w:rPr>
        <w:t>e</w:t>
      </w:r>
      <w:r w:rsidR="00B01DDF" w:rsidRPr="00232656">
        <w:rPr>
          <w:rFonts w:ascii="Helvetica 55 Roman" w:eastAsia="Times New Roman" w:hAnsi="Helvetica 55 Roman"/>
          <w:lang w:val="de-DE"/>
        </w:rPr>
        <w:t xml:space="preserve"> Werner De Laet, CEO </w:t>
      </w:r>
      <w:r w:rsidR="00B232A6">
        <w:rPr>
          <w:rFonts w:ascii="Helvetica 55 Roman" w:eastAsia="Times New Roman" w:hAnsi="Helvetica 55 Roman"/>
          <w:lang w:val="de-DE"/>
        </w:rPr>
        <w:t>von</w:t>
      </w:r>
      <w:r w:rsidR="00B01DDF" w:rsidRPr="00232656">
        <w:rPr>
          <w:rFonts w:ascii="Helvetica 55 Roman" w:eastAsia="Times New Roman" w:hAnsi="Helvetica 55 Roman"/>
          <w:lang w:val="de-DE"/>
        </w:rPr>
        <w:t xml:space="preserve"> </w:t>
      </w:r>
      <w:r w:rsidR="00FF0471" w:rsidRPr="00232656">
        <w:rPr>
          <w:rFonts w:ascii="Helvetica 55 Roman" w:eastAsia="Times New Roman" w:hAnsi="Helvetica 55 Roman"/>
          <w:lang w:val="de-DE"/>
        </w:rPr>
        <w:t xml:space="preserve">Orange Luxembourg. </w:t>
      </w:r>
    </w:p>
    <w:p w14:paraId="09843A24" w14:textId="77777777" w:rsidR="00F057AF" w:rsidRPr="004739F7" w:rsidRDefault="00F057AF" w:rsidP="00F057AF">
      <w:pPr>
        <w:jc w:val="both"/>
        <w:rPr>
          <w:rFonts w:ascii="Arial" w:hAnsi="Arial" w:cs="Arial"/>
          <w:b/>
          <w:color w:val="000000" w:themeColor="text1"/>
          <w:sz w:val="20"/>
          <w:szCs w:val="20"/>
          <w:u w:val="single"/>
          <w:lang w:val="de-DE"/>
        </w:rPr>
      </w:pPr>
      <w:r w:rsidRPr="004739F7">
        <w:rPr>
          <w:rFonts w:ascii="Arial" w:hAnsi="Arial" w:cs="Arial"/>
          <w:b/>
          <w:color w:val="000000" w:themeColor="text1"/>
          <w:sz w:val="20"/>
          <w:szCs w:val="20"/>
          <w:u w:val="single"/>
          <w:lang w:val="de-DE"/>
        </w:rPr>
        <w:t xml:space="preserve">Zu Orange in Luxemburg </w:t>
      </w:r>
    </w:p>
    <w:p w14:paraId="30B71B1F" w14:textId="77777777" w:rsidR="00F057AF" w:rsidRPr="004739F7" w:rsidRDefault="00F057AF" w:rsidP="00F057AF">
      <w:pPr>
        <w:jc w:val="both"/>
        <w:rPr>
          <w:rFonts w:ascii="Arial" w:hAnsi="Arial" w:cs="Arial"/>
          <w:sz w:val="20"/>
          <w:szCs w:val="20"/>
          <w:lang w:val="de-DE"/>
        </w:rPr>
      </w:pPr>
      <w:r w:rsidRPr="004739F7">
        <w:rPr>
          <w:rFonts w:ascii="Arial" w:hAnsi="Arial" w:cs="Arial"/>
          <w:color w:val="000000" w:themeColor="text1"/>
          <w:sz w:val="20"/>
          <w:szCs w:val="20"/>
          <w:lang w:val="de-DE"/>
        </w:rPr>
        <w:t>Orange Communications Luxembourg s.a. ist ein Telekommunikationsunternehmen das seit Mai 2004 auf dem Luxemburger Markt Mobilfunk, Festnetz und ADSL Dienste betreibt.</w:t>
      </w:r>
      <w:r w:rsidRPr="004739F7">
        <w:rPr>
          <w:rFonts w:ascii="Arial" w:hAnsi="Arial" w:cs="Arial"/>
          <w:sz w:val="20"/>
          <w:szCs w:val="20"/>
          <w:lang w:val="de-DE"/>
        </w:rPr>
        <w:t xml:space="preserve"> Orange Communications Luxembourg s.a. bedient gleichermaßen Privatkunden und Unternehmen.  Orange in Luxemburg ist eine hundertprozentige Tochter von </w:t>
      </w:r>
      <w:proofErr w:type="spellStart"/>
      <w:r w:rsidRPr="004739F7">
        <w:rPr>
          <w:rFonts w:ascii="Arial" w:hAnsi="Arial" w:cs="Arial"/>
          <w:sz w:val="20"/>
          <w:szCs w:val="20"/>
          <w:lang w:val="de-DE"/>
        </w:rPr>
        <w:t>Mobistar</w:t>
      </w:r>
      <w:proofErr w:type="spellEnd"/>
      <w:r w:rsidRPr="004739F7">
        <w:rPr>
          <w:rFonts w:ascii="Arial" w:hAnsi="Arial" w:cs="Arial"/>
          <w:sz w:val="20"/>
          <w:szCs w:val="20"/>
          <w:lang w:val="de-DE"/>
        </w:rPr>
        <w:t>.</w:t>
      </w:r>
    </w:p>
    <w:p w14:paraId="7B9835E5" w14:textId="77777777" w:rsidR="00F057AF" w:rsidRPr="004739F7" w:rsidRDefault="00F057AF" w:rsidP="00F057AF">
      <w:pPr>
        <w:jc w:val="both"/>
        <w:rPr>
          <w:rFonts w:ascii="Arial" w:hAnsi="Arial" w:cs="Arial"/>
          <w:sz w:val="20"/>
          <w:szCs w:val="20"/>
          <w:lang w:val="de-DE"/>
        </w:rPr>
      </w:pPr>
      <w:r w:rsidRPr="004739F7">
        <w:rPr>
          <w:rFonts w:ascii="Arial" w:hAnsi="Arial" w:cs="Arial"/>
          <w:sz w:val="20"/>
          <w:szCs w:val="20"/>
          <w:lang w:val="de-DE"/>
        </w:rPr>
        <w:t>Kontakt : thierry.iafrate@orangeluxembourg.lu</w:t>
      </w:r>
    </w:p>
    <w:p w14:paraId="1A746369" w14:textId="77777777" w:rsidR="00DF1464" w:rsidRPr="00232656" w:rsidRDefault="00DF1464" w:rsidP="00DF1464">
      <w:pPr>
        <w:shd w:val="clear" w:color="auto" w:fill="FFFFFF"/>
        <w:spacing w:before="100" w:beforeAutospacing="1" w:after="180" w:line="336" w:lineRule="atLeast"/>
        <w:outlineLvl w:val="2"/>
        <w:rPr>
          <w:rFonts w:ascii="Helvetica 55 Roman" w:hAnsi="Helvetica 55 Roman"/>
          <w:lang w:val="de-DE"/>
        </w:rPr>
      </w:pPr>
    </w:p>
    <w:p w14:paraId="7E166664" w14:textId="77777777" w:rsidR="007228C5" w:rsidRPr="00232656" w:rsidRDefault="007228C5">
      <w:pPr>
        <w:rPr>
          <w:rFonts w:ascii="Mobistar Regular" w:hAnsi="Mobistar Regular"/>
          <w:lang w:val="de-DE"/>
        </w:rPr>
      </w:pPr>
    </w:p>
    <w:sectPr w:rsidR="007228C5" w:rsidRPr="00232656" w:rsidSect="00270690">
      <w:pgSz w:w="11907" w:h="16839" w:code="9"/>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8A49" w14:textId="77777777" w:rsidR="00DC78AD" w:rsidRDefault="00DC78AD" w:rsidP="00DF1464">
      <w:pPr>
        <w:spacing w:after="0" w:line="240" w:lineRule="auto"/>
      </w:pPr>
      <w:r>
        <w:separator/>
      </w:r>
    </w:p>
  </w:endnote>
  <w:endnote w:type="continuationSeparator" w:id="0">
    <w:p w14:paraId="00B4D695" w14:textId="77777777" w:rsidR="00DC78AD" w:rsidRDefault="00DC78AD" w:rsidP="00DF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Neue">
    <w:altName w:val="Bienvenue TT"/>
    <w:charset w:val="00"/>
    <w:family w:val="auto"/>
    <w:pitch w:val="variable"/>
    <w:sig w:usb0="80000067"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55 Roman">
    <w:panose1 w:val="020B0500000000000000"/>
    <w:charset w:val="00"/>
    <w:family w:val="swiss"/>
    <w:pitch w:val="variable"/>
    <w:sig w:usb0="00000003" w:usb1="00000000" w:usb2="00000000" w:usb3="00000000" w:csb0="00000001" w:csb1="00000000"/>
  </w:font>
  <w:font w:name="Mobistar Regular">
    <w:panose1 w:val="02000503040000060004"/>
    <w:charset w:val="00"/>
    <w:family w:val="modern"/>
    <w:notTrueType/>
    <w:pitch w:val="variable"/>
    <w:sig w:usb0="8000002F" w:usb1="5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972E" w14:textId="77777777" w:rsidR="00DC78AD" w:rsidRDefault="00DC78AD" w:rsidP="00DF1464">
      <w:pPr>
        <w:spacing w:after="0" w:line="240" w:lineRule="auto"/>
      </w:pPr>
      <w:r>
        <w:separator/>
      </w:r>
    </w:p>
  </w:footnote>
  <w:footnote w:type="continuationSeparator" w:id="0">
    <w:p w14:paraId="15866F11" w14:textId="77777777" w:rsidR="00DC78AD" w:rsidRDefault="00DC78AD" w:rsidP="00DF1464">
      <w:pPr>
        <w:spacing w:after="0" w:line="240" w:lineRule="auto"/>
      </w:pPr>
      <w:r>
        <w:continuationSeparator/>
      </w:r>
    </w:p>
  </w:footnote>
  <w:footnote w:id="1">
    <w:p w14:paraId="0800AD5C" w14:textId="743379A0" w:rsidR="003C614F" w:rsidRPr="00F13E24" w:rsidRDefault="003C614F" w:rsidP="00672179">
      <w:pPr>
        <w:pStyle w:val="FootnoteText"/>
        <w:rPr>
          <w:lang w:val="nl-BE"/>
        </w:rPr>
      </w:pPr>
      <w:r w:rsidRPr="00597822">
        <w:rPr>
          <w:rStyle w:val="FootnoteReference"/>
          <w:lang w:val="de-DE"/>
        </w:rPr>
        <w:t>[1]</w:t>
      </w:r>
      <w:r w:rsidRPr="00597822">
        <w:rPr>
          <w:lang w:val="de-DE"/>
        </w:rPr>
        <w:t xml:space="preserve"> </w:t>
      </w:r>
      <w:r w:rsidRPr="00597822">
        <w:rPr>
          <w:rFonts w:ascii="Mobistar Regular" w:hAnsi="Mobistar Regular"/>
          <w:sz w:val="16"/>
          <w:szCs w:val="16"/>
          <w:lang w:val="de-DE"/>
        </w:rPr>
        <w:t>Die Zahl der Kunden beinhaltet nicht mehr die M2M Karten (</w:t>
      </w:r>
      <w:proofErr w:type="spellStart"/>
      <w:r w:rsidRPr="00597822">
        <w:rPr>
          <w:rFonts w:ascii="Mobistar Regular" w:hAnsi="Mobistar Regular"/>
          <w:sz w:val="16"/>
          <w:szCs w:val="16"/>
          <w:lang w:val="de-DE"/>
        </w:rPr>
        <w:t>Machine</w:t>
      </w:r>
      <w:proofErr w:type="spellEnd"/>
      <w:r w:rsidRPr="00597822">
        <w:rPr>
          <w:rFonts w:ascii="Mobistar Regular" w:hAnsi="Mobistar Regular"/>
          <w:sz w:val="16"/>
          <w:szCs w:val="16"/>
          <w:lang w:val="de-DE"/>
        </w:rPr>
        <w:t xml:space="preserve"> </w:t>
      </w:r>
      <w:proofErr w:type="spellStart"/>
      <w:r w:rsidRPr="00597822">
        <w:rPr>
          <w:rFonts w:ascii="Mobistar Regular" w:hAnsi="Mobistar Regular"/>
          <w:sz w:val="16"/>
          <w:szCs w:val="16"/>
          <w:lang w:val="de-DE"/>
        </w:rPr>
        <w:t>to</w:t>
      </w:r>
      <w:proofErr w:type="spellEnd"/>
      <w:r w:rsidRPr="00597822">
        <w:rPr>
          <w:rFonts w:ascii="Mobistar Regular" w:hAnsi="Mobistar Regular"/>
          <w:sz w:val="16"/>
          <w:szCs w:val="16"/>
          <w:lang w:val="de-DE"/>
        </w:rPr>
        <w:t xml:space="preserve"> </w:t>
      </w:r>
      <w:proofErr w:type="spellStart"/>
      <w:r w:rsidRPr="00597822">
        <w:rPr>
          <w:rFonts w:ascii="Mobistar Regular" w:hAnsi="Mobistar Regular"/>
          <w:sz w:val="16"/>
          <w:szCs w:val="16"/>
          <w:lang w:val="de-DE"/>
        </w:rPr>
        <w:t>Machine</w:t>
      </w:r>
      <w:proofErr w:type="spellEnd"/>
      <w:r w:rsidRPr="00597822">
        <w:rPr>
          <w:rFonts w:ascii="Mobistar Regular" w:hAnsi="Mobistar Regular"/>
          <w:sz w:val="16"/>
          <w:szCs w:val="16"/>
          <w:lang w:val="de-DE"/>
        </w:rPr>
        <w:t>).</w:t>
      </w:r>
    </w:p>
  </w:footnote>
  <w:footnote w:id="2">
    <w:p w14:paraId="3BD09D3D" w14:textId="0C52AA90" w:rsidR="003C614F" w:rsidRPr="00F13E24" w:rsidRDefault="003C614F" w:rsidP="00672179">
      <w:pPr>
        <w:pStyle w:val="BalloonText"/>
        <w:jc w:val="both"/>
        <w:rPr>
          <w:lang w:val="nl-BE"/>
        </w:rPr>
      </w:pPr>
      <w:r w:rsidRPr="00597822">
        <w:rPr>
          <w:rStyle w:val="FootnoteReference"/>
          <w:rFonts w:ascii="Mobistar Regular" w:hAnsi="Mobistar Regular"/>
          <w:lang w:val="de-DE"/>
        </w:rPr>
        <w:t>[2]</w:t>
      </w:r>
      <w:r w:rsidRPr="00597822">
        <w:rPr>
          <w:rFonts w:ascii="Mobistar Regular" w:hAnsi="Mobistar Regular"/>
          <w:lang w:val="de-DE"/>
        </w:rPr>
        <w:t xml:space="preserve"> Average Revenue per User, mittlerer monatlicher Umsatz je Kunde (Geglätteter Durchschnitt der letzten 12 Monate), ohne MVNO (Mobile Virtual Network Operator) und M2M Karten (</w:t>
      </w:r>
      <w:proofErr w:type="spellStart"/>
      <w:r w:rsidRPr="00597822">
        <w:rPr>
          <w:rFonts w:ascii="Mobistar Regular" w:hAnsi="Mobistar Regular"/>
          <w:lang w:val="de-DE"/>
        </w:rPr>
        <w:t>Machine</w:t>
      </w:r>
      <w:proofErr w:type="spellEnd"/>
      <w:r w:rsidRPr="00597822">
        <w:rPr>
          <w:rFonts w:ascii="Mobistar Regular" w:hAnsi="Mobistar Regular"/>
          <w:lang w:val="de-DE"/>
        </w:rPr>
        <w:t xml:space="preserve"> </w:t>
      </w:r>
      <w:proofErr w:type="spellStart"/>
      <w:r w:rsidRPr="00597822">
        <w:rPr>
          <w:rFonts w:ascii="Mobistar Regular" w:hAnsi="Mobistar Regular"/>
          <w:lang w:val="de-DE"/>
        </w:rPr>
        <w:t>to</w:t>
      </w:r>
      <w:proofErr w:type="spellEnd"/>
      <w:r w:rsidRPr="00597822">
        <w:rPr>
          <w:rFonts w:ascii="Mobistar Regular" w:hAnsi="Mobistar Regular"/>
          <w:lang w:val="de-DE"/>
        </w:rPr>
        <w:t xml:space="preserve"> </w:t>
      </w:r>
      <w:proofErr w:type="spellStart"/>
      <w:r w:rsidRPr="00597822">
        <w:rPr>
          <w:rFonts w:ascii="Mobistar Regular" w:hAnsi="Mobistar Regular"/>
          <w:lang w:val="de-DE"/>
        </w:rPr>
        <w:t>Machine</w:t>
      </w:r>
      <w:proofErr w:type="spellEnd"/>
      <w:r w:rsidRPr="00597822">
        <w:rPr>
          <w:rFonts w:ascii="Mobistar Regular" w:hAnsi="Mobistar Regula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4"/>
    <w:rsid w:val="000478B7"/>
    <w:rsid w:val="000A60DF"/>
    <w:rsid w:val="000D3FA2"/>
    <w:rsid w:val="000D406C"/>
    <w:rsid w:val="00166A50"/>
    <w:rsid w:val="001C05B9"/>
    <w:rsid w:val="001F6E80"/>
    <w:rsid w:val="00215EB4"/>
    <w:rsid w:val="00232656"/>
    <w:rsid w:val="00236C11"/>
    <w:rsid w:val="00257280"/>
    <w:rsid w:val="00270690"/>
    <w:rsid w:val="00283CBE"/>
    <w:rsid w:val="0029333B"/>
    <w:rsid w:val="002A0B55"/>
    <w:rsid w:val="002F39CE"/>
    <w:rsid w:val="00382DF6"/>
    <w:rsid w:val="003A031D"/>
    <w:rsid w:val="003B1970"/>
    <w:rsid w:val="003C614F"/>
    <w:rsid w:val="003D7CB0"/>
    <w:rsid w:val="00473F51"/>
    <w:rsid w:val="00481315"/>
    <w:rsid w:val="00485F67"/>
    <w:rsid w:val="00510F63"/>
    <w:rsid w:val="00521350"/>
    <w:rsid w:val="00563A51"/>
    <w:rsid w:val="005876A0"/>
    <w:rsid w:val="00672179"/>
    <w:rsid w:val="006B380A"/>
    <w:rsid w:val="006C7E61"/>
    <w:rsid w:val="006E44CB"/>
    <w:rsid w:val="007228C5"/>
    <w:rsid w:val="00755B30"/>
    <w:rsid w:val="007662D3"/>
    <w:rsid w:val="007B6F56"/>
    <w:rsid w:val="00802879"/>
    <w:rsid w:val="00832C2B"/>
    <w:rsid w:val="008E6EB8"/>
    <w:rsid w:val="0095227B"/>
    <w:rsid w:val="009837D9"/>
    <w:rsid w:val="00991BB1"/>
    <w:rsid w:val="009C7226"/>
    <w:rsid w:val="009F66EC"/>
    <w:rsid w:val="00A27D09"/>
    <w:rsid w:val="00A539E5"/>
    <w:rsid w:val="00A577A7"/>
    <w:rsid w:val="00A745E3"/>
    <w:rsid w:val="00AA359B"/>
    <w:rsid w:val="00AB087D"/>
    <w:rsid w:val="00B01DDF"/>
    <w:rsid w:val="00B22111"/>
    <w:rsid w:val="00B232A6"/>
    <w:rsid w:val="00B5641E"/>
    <w:rsid w:val="00B6213C"/>
    <w:rsid w:val="00B644A0"/>
    <w:rsid w:val="00BA7DB6"/>
    <w:rsid w:val="00BD39CE"/>
    <w:rsid w:val="00C3342F"/>
    <w:rsid w:val="00C6708B"/>
    <w:rsid w:val="00CE355E"/>
    <w:rsid w:val="00DC78AD"/>
    <w:rsid w:val="00DF1464"/>
    <w:rsid w:val="00E3027C"/>
    <w:rsid w:val="00E8191C"/>
    <w:rsid w:val="00EC0FE7"/>
    <w:rsid w:val="00F057AF"/>
    <w:rsid w:val="00F13E24"/>
    <w:rsid w:val="00F16AB2"/>
    <w:rsid w:val="00F22F3F"/>
    <w:rsid w:val="00F43E86"/>
    <w:rsid w:val="00FF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5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1464"/>
    <w:rPr>
      <w:rFonts w:ascii="Tahoma" w:hAnsi="Tahoma" w:cs="Tahoma"/>
      <w:sz w:val="16"/>
      <w:szCs w:val="16"/>
    </w:rPr>
  </w:style>
  <w:style w:type="paragraph" w:styleId="FootnoteText">
    <w:name w:val="footnote text"/>
    <w:basedOn w:val="Normal"/>
    <w:link w:val="FootnoteTextChar"/>
    <w:uiPriority w:val="99"/>
    <w:semiHidden/>
    <w:unhideWhenUsed/>
    <w:rsid w:val="00DF146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464"/>
    <w:rPr>
      <w:rFonts w:ascii="Times New Roman" w:hAnsi="Times New Roman" w:cs="Times New Roman"/>
      <w:sz w:val="20"/>
      <w:szCs w:val="20"/>
    </w:rPr>
  </w:style>
  <w:style w:type="paragraph" w:styleId="Header">
    <w:name w:val="header"/>
    <w:basedOn w:val="Normal"/>
    <w:link w:val="HeaderChar"/>
    <w:unhideWhenUsed/>
    <w:rsid w:val="00DF1464"/>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DF1464"/>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rsid w:val="00DF1464"/>
    <w:rPr>
      <w:rFonts w:ascii="Arial" w:hAnsi="Arial" w:cs="Arial"/>
      <w:i/>
      <w:iCs/>
      <w:sz w:val="16"/>
      <w:szCs w:val="16"/>
      <w:lang w:eastAsia="nl-NL"/>
    </w:rPr>
  </w:style>
  <w:style w:type="character" w:styleId="FootnoteReference">
    <w:name w:val="footnote reference"/>
    <w:basedOn w:val="DefaultParagraphFont"/>
    <w:uiPriority w:val="99"/>
    <w:semiHidden/>
    <w:unhideWhenUsed/>
    <w:rsid w:val="00DF14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1464"/>
    <w:rPr>
      <w:rFonts w:ascii="Tahoma" w:hAnsi="Tahoma" w:cs="Tahoma"/>
      <w:sz w:val="16"/>
      <w:szCs w:val="16"/>
    </w:rPr>
  </w:style>
  <w:style w:type="paragraph" w:styleId="FootnoteText">
    <w:name w:val="footnote text"/>
    <w:basedOn w:val="Normal"/>
    <w:link w:val="FootnoteTextChar"/>
    <w:uiPriority w:val="99"/>
    <w:semiHidden/>
    <w:unhideWhenUsed/>
    <w:rsid w:val="00DF146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464"/>
    <w:rPr>
      <w:rFonts w:ascii="Times New Roman" w:hAnsi="Times New Roman" w:cs="Times New Roman"/>
      <w:sz w:val="20"/>
      <w:szCs w:val="20"/>
    </w:rPr>
  </w:style>
  <w:style w:type="paragraph" w:styleId="Header">
    <w:name w:val="header"/>
    <w:basedOn w:val="Normal"/>
    <w:link w:val="HeaderChar"/>
    <w:unhideWhenUsed/>
    <w:rsid w:val="00DF1464"/>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rsid w:val="00DF1464"/>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F1464"/>
    <w:pPr>
      <w:spacing w:after="0" w:line="240" w:lineRule="auto"/>
    </w:pPr>
    <w:rPr>
      <w:rFonts w:ascii="Arial" w:hAnsi="Arial" w:cs="Arial"/>
      <w:i/>
      <w:iCs/>
      <w:sz w:val="16"/>
      <w:szCs w:val="16"/>
      <w:lang w:eastAsia="nl-NL"/>
    </w:rPr>
  </w:style>
  <w:style w:type="character" w:customStyle="1" w:styleId="BodyTextIndentChar">
    <w:name w:val="Body Text Indent Char"/>
    <w:basedOn w:val="DefaultParagraphFont"/>
    <w:link w:val="BodyTextIndent"/>
    <w:uiPriority w:val="99"/>
    <w:rsid w:val="00DF1464"/>
    <w:rPr>
      <w:rFonts w:ascii="Arial" w:hAnsi="Arial" w:cs="Arial"/>
      <w:i/>
      <w:iCs/>
      <w:sz w:val="16"/>
      <w:szCs w:val="16"/>
      <w:lang w:eastAsia="nl-NL"/>
    </w:rPr>
  </w:style>
  <w:style w:type="character" w:styleId="FootnoteReference">
    <w:name w:val="footnote reference"/>
    <w:basedOn w:val="DefaultParagraphFont"/>
    <w:uiPriority w:val="99"/>
    <w:semiHidden/>
    <w:unhideWhenUsed/>
    <w:rsid w:val="00DF1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ORANGE Group</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IAFRATE Thierry</dc:creator>
  <cp:keywords/>
  <dc:description/>
  <cp:lastModifiedBy>IAFRATE Thierry</cp:lastModifiedBy>
  <cp:revision>2</cp:revision>
  <cp:lastPrinted>2014-02-26T17:31:00Z</cp:lastPrinted>
  <dcterms:created xsi:type="dcterms:W3CDTF">2014-02-26T18:33:00Z</dcterms:created>
  <dcterms:modified xsi:type="dcterms:W3CDTF">2014-02-26T18:33:00Z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-1035451658</vt:i4>
  </property>
  <property fmtid="{D5CDD505-2E9C-101B-9397-08002B2CF9AE}" pid="3" name="_NewReviewCycle">
    <vt:lpwstr/>
  </property>
  <property fmtid="{D5CDD505-2E9C-101B-9397-08002B2CF9AE}" pid="4" name="_EmailSubject">
    <vt:lpwstr>YoY 2013 figures - EMBARGO jeudi 27 fevrier/thirsday 27 February</vt:lpwstr>
  </property>
  <property fmtid="{D5CDD505-2E9C-101B-9397-08002B2CF9AE}" pid="5" name="_AuthorEmail">
    <vt:lpwstr>Thierry.IAFRATE@orangeluxembourg.lu</vt:lpwstr>
  </property>
  <property fmtid="{D5CDD505-2E9C-101B-9397-08002B2CF9AE}" pid="6" name="_AuthorEmailDisplayName">
    <vt:lpwstr>Thierry IAFRATE</vt:lpwstr>
  </property>
</Properties>
</file>