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B67CA" w14:textId="77777777" w:rsidR="00672179" w:rsidRPr="00DC7C41" w:rsidRDefault="00672179" w:rsidP="00270690">
      <w:pPr>
        <w:shd w:val="clear" w:color="auto" w:fill="FFFFFF"/>
        <w:tabs>
          <w:tab w:val="right" w:pos="8789"/>
        </w:tabs>
        <w:spacing w:before="100" w:beforeAutospacing="1" w:after="180" w:line="336" w:lineRule="atLeast"/>
        <w:outlineLvl w:val="2"/>
        <w:rPr>
          <w:rFonts w:ascii="Arial" w:eastAsia="Times New Roman" w:hAnsi="Arial" w:cs="Arial"/>
          <w:b/>
          <w:bCs/>
          <w:spacing w:val="2"/>
          <w:sz w:val="28"/>
          <w:szCs w:val="28"/>
          <w:lang w:val="fr-FR"/>
        </w:rPr>
      </w:pPr>
      <w:r w:rsidRPr="00DC7C41">
        <w:rPr>
          <w:rFonts w:ascii="Arial" w:eastAsia="Times New Roman" w:hAnsi="Arial" w:cs="Arial"/>
          <w:b/>
          <w:bCs/>
          <w:spacing w:val="2"/>
          <w:sz w:val="28"/>
          <w:szCs w:val="28"/>
          <w:lang w:val="fr-FR"/>
        </w:rPr>
        <w:tab/>
      </w:r>
      <w:r w:rsidRPr="00DC7C41">
        <w:rPr>
          <w:noProof/>
          <w:lang w:val="fr-FR" w:eastAsia="fr-FR"/>
        </w:rPr>
        <w:drawing>
          <wp:inline distT="0" distB="0" distL="0" distR="0" wp14:anchorId="6E95E0D5" wp14:editId="06DF4F42">
            <wp:extent cx="1231900" cy="1231900"/>
            <wp:effectExtent l="0" t="0" r="0" b="0"/>
            <wp:docPr id="1" name="Picture 1" descr="Description: PP_oran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PP_oran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98353" w14:textId="77777777" w:rsidR="00672179" w:rsidRPr="00DC7C41" w:rsidRDefault="00DC7C41" w:rsidP="00270690">
      <w:pPr>
        <w:shd w:val="clear" w:color="auto" w:fill="FFFFFF"/>
        <w:tabs>
          <w:tab w:val="right" w:pos="8789"/>
        </w:tabs>
        <w:spacing w:before="100" w:beforeAutospacing="1" w:after="180" w:line="336" w:lineRule="atLeast"/>
        <w:outlineLvl w:val="2"/>
        <w:rPr>
          <w:rFonts w:ascii="Arial" w:eastAsia="Times New Roman" w:hAnsi="Arial" w:cs="Arial"/>
          <w:b/>
          <w:bCs/>
          <w:spacing w:val="2"/>
          <w:sz w:val="28"/>
          <w:szCs w:val="28"/>
          <w:lang w:val="fr-FR"/>
        </w:rPr>
      </w:pPr>
      <w:r>
        <w:rPr>
          <w:rFonts w:ascii="Arial" w:eastAsia="Times New Roman" w:hAnsi="Arial" w:cs="Arial"/>
          <w:b/>
          <w:bCs/>
          <w:spacing w:val="2"/>
          <w:sz w:val="28"/>
          <w:szCs w:val="28"/>
          <w:lang w:val="fr-FR"/>
        </w:rPr>
        <w:t>Communiqué de presse</w:t>
      </w:r>
    </w:p>
    <w:p w14:paraId="40D00A47" w14:textId="77777777" w:rsidR="00672179" w:rsidRPr="00DC7C41" w:rsidRDefault="00672179" w:rsidP="00270690">
      <w:pPr>
        <w:shd w:val="clear" w:color="auto" w:fill="FFFFFF"/>
        <w:tabs>
          <w:tab w:val="right" w:pos="8789"/>
        </w:tabs>
        <w:spacing w:before="100" w:beforeAutospacing="1" w:after="180" w:line="336" w:lineRule="atLeast"/>
        <w:outlineLvl w:val="2"/>
        <w:rPr>
          <w:rFonts w:ascii="Helvetica Neue" w:eastAsia="Times New Roman" w:hAnsi="Helvetica Neue" w:cs="Arial"/>
          <w:b/>
          <w:bCs/>
          <w:spacing w:val="2"/>
          <w:sz w:val="28"/>
          <w:szCs w:val="28"/>
          <w:lang w:val="fr-FR"/>
        </w:rPr>
      </w:pPr>
      <w:r w:rsidRPr="00DC7C41">
        <w:rPr>
          <w:rFonts w:ascii="Arial" w:eastAsia="Times New Roman" w:hAnsi="Arial" w:cs="Arial"/>
          <w:b/>
          <w:bCs/>
          <w:spacing w:val="2"/>
          <w:sz w:val="28"/>
          <w:szCs w:val="28"/>
          <w:lang w:val="fr-FR"/>
        </w:rPr>
        <w:t xml:space="preserve">Embargo </w:t>
      </w:r>
      <w:r w:rsidR="00DC7C41">
        <w:rPr>
          <w:rFonts w:ascii="Arial" w:eastAsia="Times New Roman" w:hAnsi="Arial" w:cs="Arial"/>
          <w:b/>
          <w:bCs/>
          <w:spacing w:val="2"/>
          <w:sz w:val="28"/>
          <w:szCs w:val="28"/>
          <w:lang w:val="fr-FR"/>
        </w:rPr>
        <w:t>27 Février</w:t>
      </w:r>
      <w:r w:rsidR="00B6213C" w:rsidRPr="00DC7C41">
        <w:rPr>
          <w:rFonts w:ascii="Arial" w:eastAsia="Times New Roman" w:hAnsi="Arial" w:cs="Arial"/>
          <w:b/>
          <w:bCs/>
          <w:spacing w:val="2"/>
          <w:sz w:val="28"/>
          <w:szCs w:val="28"/>
          <w:lang w:val="fr-FR"/>
        </w:rPr>
        <w:t xml:space="preserve"> 07h</w:t>
      </w:r>
      <w:r w:rsidRPr="00DC7C41">
        <w:rPr>
          <w:rFonts w:ascii="Arial" w:eastAsia="Times New Roman" w:hAnsi="Arial" w:cs="Arial"/>
          <w:b/>
          <w:bCs/>
          <w:spacing w:val="2"/>
          <w:sz w:val="28"/>
          <w:szCs w:val="28"/>
          <w:lang w:val="fr-FR"/>
        </w:rPr>
        <w:t xml:space="preserve">00                                 </w:t>
      </w:r>
      <w:r w:rsidR="009837D9" w:rsidRPr="00DC7C41">
        <w:rPr>
          <w:rFonts w:ascii="Helvetica Neue" w:eastAsia="Times New Roman" w:hAnsi="Helvetica Neue" w:cs="Arial"/>
          <w:b/>
          <w:bCs/>
          <w:spacing w:val="2"/>
          <w:sz w:val="28"/>
          <w:szCs w:val="28"/>
          <w:lang w:val="fr-FR"/>
        </w:rPr>
        <w:tab/>
      </w:r>
    </w:p>
    <w:p w14:paraId="08271AD7" w14:textId="77777777" w:rsidR="009837D9" w:rsidRPr="00DC7C41" w:rsidRDefault="00672179" w:rsidP="00270690">
      <w:pPr>
        <w:shd w:val="clear" w:color="auto" w:fill="FFFFFF"/>
        <w:tabs>
          <w:tab w:val="right" w:pos="8789"/>
        </w:tabs>
        <w:spacing w:before="100" w:beforeAutospacing="1" w:after="180" w:line="336" w:lineRule="atLeast"/>
        <w:outlineLvl w:val="2"/>
        <w:rPr>
          <w:rFonts w:ascii="Helvetica Neue" w:eastAsia="Times New Roman" w:hAnsi="Helvetica Neue" w:cs="Arial"/>
          <w:b/>
          <w:bCs/>
          <w:spacing w:val="2"/>
          <w:sz w:val="28"/>
          <w:szCs w:val="28"/>
          <w:lang w:val="fr-FR"/>
        </w:rPr>
      </w:pPr>
      <w:r w:rsidRPr="00DC7C41">
        <w:rPr>
          <w:rFonts w:ascii="Helvetica Neue" w:eastAsia="Times New Roman" w:hAnsi="Helvetica Neue" w:cs="Arial"/>
          <w:b/>
          <w:bCs/>
          <w:spacing w:val="2"/>
          <w:sz w:val="28"/>
          <w:szCs w:val="28"/>
          <w:lang w:val="fr-FR"/>
        </w:rPr>
        <w:tab/>
      </w:r>
      <w:r w:rsidR="00DF1464" w:rsidRPr="00DC7C41">
        <w:rPr>
          <w:rFonts w:ascii="Helvetica Neue" w:eastAsia="Times New Roman" w:hAnsi="Helvetica Neue" w:cs="Arial"/>
          <w:bCs/>
          <w:spacing w:val="2"/>
          <w:sz w:val="23"/>
          <w:szCs w:val="23"/>
          <w:lang w:val="fr-FR"/>
        </w:rPr>
        <w:t xml:space="preserve">Bertrange, </w:t>
      </w:r>
      <w:r w:rsidR="00DC7C41">
        <w:rPr>
          <w:rFonts w:ascii="Helvetica Neue" w:eastAsia="Times New Roman" w:hAnsi="Helvetica Neue" w:cs="Arial"/>
          <w:bCs/>
          <w:spacing w:val="2"/>
          <w:sz w:val="23"/>
          <w:szCs w:val="23"/>
          <w:lang w:val="fr-FR"/>
        </w:rPr>
        <w:t>le 27</w:t>
      </w:r>
      <w:r w:rsidRPr="00DC7C41">
        <w:rPr>
          <w:rFonts w:ascii="Helvetica Neue" w:eastAsia="Times New Roman" w:hAnsi="Helvetica Neue" w:cs="Arial"/>
          <w:bCs/>
          <w:spacing w:val="2"/>
          <w:sz w:val="23"/>
          <w:szCs w:val="23"/>
          <w:vertAlign w:val="superscript"/>
          <w:lang w:val="fr-FR"/>
        </w:rPr>
        <w:t>th</w:t>
      </w:r>
      <w:r w:rsidRPr="00DC7C41">
        <w:rPr>
          <w:rFonts w:ascii="Helvetica Neue" w:eastAsia="Times New Roman" w:hAnsi="Helvetica Neue" w:cs="Arial"/>
          <w:bCs/>
          <w:spacing w:val="2"/>
          <w:sz w:val="23"/>
          <w:szCs w:val="23"/>
          <w:lang w:val="fr-FR"/>
        </w:rPr>
        <w:t xml:space="preserve"> </w:t>
      </w:r>
      <w:r w:rsidR="00DC7C41">
        <w:rPr>
          <w:rFonts w:ascii="Helvetica Neue" w:eastAsia="Times New Roman" w:hAnsi="Helvetica Neue" w:cs="Arial"/>
          <w:bCs/>
          <w:spacing w:val="2"/>
          <w:sz w:val="23"/>
          <w:szCs w:val="23"/>
          <w:lang w:val="fr-FR"/>
        </w:rPr>
        <w:t>Février</w:t>
      </w:r>
      <w:r w:rsidRPr="00DC7C41">
        <w:rPr>
          <w:rFonts w:ascii="Helvetica Neue" w:eastAsia="Times New Roman" w:hAnsi="Helvetica Neue" w:cs="Arial"/>
          <w:bCs/>
          <w:spacing w:val="2"/>
          <w:sz w:val="23"/>
          <w:szCs w:val="23"/>
          <w:lang w:val="fr-FR"/>
        </w:rPr>
        <w:t xml:space="preserve"> 2014</w:t>
      </w:r>
    </w:p>
    <w:p w14:paraId="5F3D63CC" w14:textId="77777777" w:rsidR="00E8191C" w:rsidRPr="00DC7C41" w:rsidRDefault="00E8191C" w:rsidP="00521350">
      <w:pPr>
        <w:rPr>
          <w:rFonts w:ascii="HelveticaNeueLT Std" w:hAnsi="HelveticaNeueLT Std" w:cs="Arial"/>
          <w:b/>
          <w:color w:val="FF6600"/>
          <w:sz w:val="32"/>
          <w:lang w:val="fr-FR"/>
        </w:rPr>
      </w:pPr>
    </w:p>
    <w:p w14:paraId="512A8411" w14:textId="08FF8C7D" w:rsidR="009C7226" w:rsidRPr="00DC7C41" w:rsidRDefault="00DF1464" w:rsidP="00521350">
      <w:pPr>
        <w:rPr>
          <w:rFonts w:ascii="HelveticaNeueLT Std" w:hAnsi="HelveticaNeueLT Std" w:cs="Arial"/>
          <w:b/>
          <w:color w:val="FF6600"/>
          <w:sz w:val="32"/>
          <w:lang w:val="fr-FR"/>
        </w:rPr>
      </w:pPr>
      <w:r w:rsidRPr="00DC7C41">
        <w:rPr>
          <w:rFonts w:ascii="HelveticaNeueLT Std" w:hAnsi="HelveticaNeueLT Std" w:cs="Arial"/>
          <w:b/>
          <w:color w:val="FF6600"/>
          <w:sz w:val="32"/>
          <w:lang w:val="fr-FR"/>
        </w:rPr>
        <w:t xml:space="preserve">Orange Luxembourg </w:t>
      </w:r>
      <w:r w:rsidR="00DC7C41">
        <w:rPr>
          <w:rFonts w:ascii="HelveticaNeueLT Std" w:hAnsi="HelveticaNeueLT Std" w:cs="Arial"/>
          <w:b/>
          <w:color w:val="FF6600"/>
          <w:sz w:val="32"/>
          <w:lang w:val="fr-FR"/>
        </w:rPr>
        <w:t xml:space="preserve">augmente </w:t>
      </w:r>
      <w:r w:rsidR="00C93256">
        <w:rPr>
          <w:rFonts w:ascii="HelveticaNeueLT Std" w:hAnsi="HelveticaNeueLT Std" w:cs="Arial"/>
          <w:b/>
          <w:color w:val="FF6600"/>
          <w:sz w:val="32"/>
          <w:lang w:val="fr-FR"/>
        </w:rPr>
        <w:t xml:space="preserve">sa profitabilité </w:t>
      </w:r>
      <w:r w:rsidR="00DC7C41">
        <w:rPr>
          <w:rFonts w:ascii="HelveticaNeueLT Std" w:hAnsi="HelveticaNeueLT Std" w:cs="Arial"/>
          <w:b/>
          <w:color w:val="FF6600"/>
          <w:sz w:val="32"/>
          <w:lang w:val="fr-FR"/>
        </w:rPr>
        <w:t xml:space="preserve"> en</w:t>
      </w:r>
      <w:r w:rsidR="00865DC9">
        <w:rPr>
          <w:rFonts w:ascii="HelveticaNeueLT Std" w:hAnsi="HelveticaNeueLT Std" w:cs="Arial"/>
          <w:b/>
          <w:color w:val="FF6600"/>
          <w:sz w:val="32"/>
          <w:lang w:val="fr-FR"/>
        </w:rPr>
        <w:t xml:space="preserve"> vue d’accélérer ses investissements au Luxembourg </w:t>
      </w:r>
    </w:p>
    <w:p w14:paraId="67195CC9" w14:textId="77777777" w:rsidR="00DF1464" w:rsidRPr="00DC7C41" w:rsidRDefault="00DF1464" w:rsidP="00521350">
      <w:pPr>
        <w:jc w:val="both"/>
        <w:rPr>
          <w:rFonts w:ascii="HelveticaNeueLT Std" w:hAnsi="HelveticaNeueLT Std" w:cs="Arial"/>
          <w:b/>
          <w:lang w:val="fr-FR"/>
        </w:rPr>
      </w:pPr>
      <w:r w:rsidRPr="00DC7C41">
        <w:rPr>
          <w:rFonts w:ascii="HelveticaNeueLT Std" w:hAnsi="HelveticaNeueLT Std" w:cs="Arial"/>
          <w:b/>
          <w:lang w:val="fr-FR"/>
        </w:rPr>
        <w:t xml:space="preserve">Orange Luxembourg </w:t>
      </w:r>
      <w:r w:rsidR="00865DC9">
        <w:rPr>
          <w:rFonts w:ascii="HelveticaNeueLT Std" w:hAnsi="HelveticaNeueLT Std" w:cs="Arial"/>
          <w:b/>
          <w:lang w:val="fr-FR"/>
        </w:rPr>
        <w:t xml:space="preserve">consolide sa base clients et son développement au Luxembourg, tout en offrant des offres </w:t>
      </w:r>
      <w:proofErr w:type="spellStart"/>
      <w:r w:rsidR="00865DC9">
        <w:rPr>
          <w:rFonts w:ascii="HelveticaNeueLT Std" w:hAnsi="HelveticaNeueLT Std" w:cs="Arial"/>
          <w:b/>
          <w:lang w:val="fr-FR"/>
        </w:rPr>
        <w:t>roaming</w:t>
      </w:r>
      <w:proofErr w:type="spellEnd"/>
      <w:r w:rsidR="00865DC9">
        <w:rPr>
          <w:rFonts w:ascii="HelveticaNeueLT Std" w:hAnsi="HelveticaNeueLT Std" w:cs="Arial"/>
          <w:b/>
          <w:lang w:val="fr-FR"/>
        </w:rPr>
        <w:t xml:space="preserve"> attrayantes pour ses clients. </w:t>
      </w:r>
    </w:p>
    <w:p w14:paraId="53097857" w14:textId="1F7D217F" w:rsidR="00672179" w:rsidRPr="00DC7C41" w:rsidRDefault="00865DC9" w:rsidP="00672179">
      <w:pPr>
        <w:pStyle w:val="BodyTextIndent"/>
        <w:jc w:val="both"/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</w:pP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Le marché de la téléphonie mobile à Luxembourg a été soumis à une forte compétition. 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Orange Communications Luxembourg </w:t>
      </w:r>
      <w:r w:rsidR="00A72C90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y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occupe actuellement la troisième place en termes de part de marché.</w:t>
      </w:r>
    </w:p>
    <w:p w14:paraId="2D5A7BF8" w14:textId="77777777" w:rsidR="00521350" w:rsidRPr="00DC7C41" w:rsidRDefault="00521350" w:rsidP="00DF1464">
      <w:pPr>
        <w:jc w:val="both"/>
        <w:rPr>
          <w:rFonts w:ascii="Helvetica 55 Roman" w:hAnsi="Helvetica 55 Roman"/>
          <w:lang w:val="fr-FR"/>
        </w:rPr>
      </w:pPr>
    </w:p>
    <w:p w14:paraId="0352B52F" w14:textId="0CC53FCF" w:rsidR="00672179" w:rsidRPr="00DC7C41" w:rsidRDefault="00865DC9" w:rsidP="00672179">
      <w:pPr>
        <w:pStyle w:val="BodyTextIndent"/>
        <w:jc w:val="both"/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</w:pP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Le chiffre d’affaires total s’est élevé à 75,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6 million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s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d’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euro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s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fin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2013,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une augmentation de </w:t>
      </w:r>
      <w:r w:rsidR="003606D8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0,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1 % compar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é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aux 75,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5 million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s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d’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euro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s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à fin 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2012.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Si l’on considère l’impact de</w:t>
      </w:r>
      <w:r w:rsidR="00C93256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la régulation du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</w:t>
      </w:r>
      <w:proofErr w:type="spellStart"/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roaming</w:t>
      </w:r>
      <w:proofErr w:type="spellEnd"/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de </w:t>
      </w:r>
      <w:r w:rsidR="003606D8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0,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75 million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s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d’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euro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s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,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le chiffre d’affaire total aurait été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76,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4 million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s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d’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euro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s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,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une augmentation de</w:t>
      </w:r>
      <w:r w:rsidR="003606D8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1,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1 %.</w:t>
      </w:r>
    </w:p>
    <w:p w14:paraId="16FD889E" w14:textId="77777777" w:rsidR="00672179" w:rsidRPr="00DC7C41" w:rsidRDefault="00672179" w:rsidP="00672179">
      <w:pPr>
        <w:jc w:val="both"/>
        <w:rPr>
          <w:rFonts w:ascii="Helvetica 55 Roman" w:hAnsi="Helvetica 55 Roman"/>
          <w:lang w:val="fr-FR"/>
        </w:rPr>
      </w:pPr>
    </w:p>
    <w:p w14:paraId="176EE640" w14:textId="5281DF56" w:rsidR="00672179" w:rsidRPr="00DC7C41" w:rsidRDefault="00A72C90" w:rsidP="00672179">
      <w:pPr>
        <w:jc w:val="both"/>
        <w:rPr>
          <w:rFonts w:ascii="Helvetica 55 Roman" w:hAnsi="Helvetica 55 Roman"/>
          <w:lang w:val="fr-FR"/>
        </w:rPr>
      </w:pPr>
      <w:r>
        <w:rPr>
          <w:rFonts w:ascii="Helvetica 55 Roman" w:hAnsi="Helvetica 55 Roman"/>
          <w:lang w:val="fr-FR"/>
        </w:rPr>
        <w:t>L’</w:t>
      </w:r>
      <w:r w:rsidR="00672179" w:rsidRPr="00DC7C41">
        <w:rPr>
          <w:rFonts w:ascii="Helvetica 55 Roman" w:hAnsi="Helvetica 55 Roman"/>
          <w:lang w:val="fr-FR"/>
        </w:rPr>
        <w:t xml:space="preserve">EBITDA </w:t>
      </w:r>
      <w:r>
        <w:rPr>
          <w:rFonts w:ascii="Helvetica 55 Roman" w:hAnsi="Helvetica 55 Roman"/>
          <w:lang w:val="fr-FR"/>
        </w:rPr>
        <w:t>d’</w:t>
      </w:r>
      <w:r w:rsidR="00672179" w:rsidRPr="00DC7C41">
        <w:rPr>
          <w:rFonts w:ascii="Helvetica 55 Roman" w:hAnsi="Helvetica 55 Roman"/>
          <w:lang w:val="fr-FR"/>
        </w:rPr>
        <w:t xml:space="preserve">Orange Communications Luxembourg S.A. </w:t>
      </w:r>
      <w:r>
        <w:rPr>
          <w:rFonts w:ascii="Helvetica 55 Roman" w:hAnsi="Helvetica 55 Roman"/>
          <w:lang w:val="fr-FR"/>
        </w:rPr>
        <w:t xml:space="preserve">a </w:t>
      </w:r>
      <w:r w:rsidR="00B44E8F">
        <w:rPr>
          <w:rFonts w:ascii="Helvetica 55 Roman" w:hAnsi="Helvetica 55 Roman"/>
          <w:lang w:val="fr-FR"/>
        </w:rPr>
        <w:t>augmenté de 15.1% par rapport à 2012</w:t>
      </w:r>
      <w:r>
        <w:rPr>
          <w:rFonts w:ascii="Helvetica 55 Roman" w:hAnsi="Helvetica 55 Roman"/>
          <w:lang w:val="fr-FR"/>
        </w:rPr>
        <w:t>.</w:t>
      </w:r>
      <w:r w:rsidR="00991BB1" w:rsidRPr="00DC7C41">
        <w:rPr>
          <w:rFonts w:ascii="Helvetica 55 Roman" w:hAnsi="Helvetica 55 Roman"/>
          <w:lang w:val="fr-FR"/>
        </w:rPr>
        <w:t xml:space="preserve"> </w:t>
      </w:r>
      <w:r w:rsidR="008369BD">
        <w:rPr>
          <w:rFonts w:ascii="Helvetica 55 Roman" w:hAnsi="Helvetica 55 Roman"/>
          <w:lang w:val="fr-FR"/>
        </w:rPr>
        <w:t xml:space="preserve">Ce résultat positif à été réalisé malgré l’introduction du </w:t>
      </w:r>
      <w:proofErr w:type="spellStart"/>
      <w:r w:rsidR="008369BD">
        <w:rPr>
          <w:rFonts w:ascii="Helvetica 55 Roman" w:hAnsi="Helvetica 55 Roman"/>
          <w:lang w:val="fr-FR"/>
        </w:rPr>
        <w:t>roaming</w:t>
      </w:r>
      <w:proofErr w:type="spellEnd"/>
      <w:r w:rsidR="008369BD">
        <w:rPr>
          <w:rFonts w:ascii="Helvetica 55 Roman" w:hAnsi="Helvetica 55 Roman"/>
          <w:lang w:val="fr-FR"/>
        </w:rPr>
        <w:t xml:space="preserve"> dans les offres tarifaires et les frais liés aux démarrage de l’offre convergente, introduite suite aux accords conclu</w:t>
      </w:r>
      <w:r w:rsidR="003606D8">
        <w:rPr>
          <w:rFonts w:ascii="Helvetica 55 Roman" w:hAnsi="Helvetica 55 Roman"/>
          <w:lang w:val="fr-FR"/>
        </w:rPr>
        <w:t xml:space="preserve"> avec l’opérateur de réseaux câ</w:t>
      </w:r>
      <w:r w:rsidR="008369BD">
        <w:rPr>
          <w:rFonts w:ascii="Helvetica 55 Roman" w:hAnsi="Helvetica 55 Roman"/>
          <w:lang w:val="fr-FR"/>
        </w:rPr>
        <w:t xml:space="preserve">blés </w:t>
      </w:r>
      <w:proofErr w:type="spellStart"/>
      <w:r w:rsidR="00672179" w:rsidRPr="00DC7C41">
        <w:rPr>
          <w:rFonts w:ascii="Helvetica 55 Roman" w:hAnsi="Helvetica 55 Roman"/>
          <w:lang w:val="fr-FR"/>
        </w:rPr>
        <w:t>Eltrona</w:t>
      </w:r>
      <w:proofErr w:type="spellEnd"/>
      <w:r w:rsidR="00672179" w:rsidRPr="00DC7C41">
        <w:rPr>
          <w:rFonts w:ascii="Helvetica 55 Roman" w:hAnsi="Helvetica 55 Roman"/>
          <w:lang w:val="fr-FR"/>
        </w:rPr>
        <w:t xml:space="preserve"> Telecom</w:t>
      </w:r>
    </w:p>
    <w:p w14:paraId="1483EF5B" w14:textId="77777777" w:rsidR="00991BB1" w:rsidRPr="00DC7C41" w:rsidRDefault="00991BB1" w:rsidP="00DF1464">
      <w:pPr>
        <w:jc w:val="both"/>
        <w:rPr>
          <w:rFonts w:ascii="HelveticaNeueLT Std" w:eastAsia="Times New Roman" w:hAnsi="HelveticaNeueLT Std"/>
          <w:lang w:val="fr-FR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18"/>
        <w:gridCol w:w="1134"/>
        <w:gridCol w:w="1559"/>
      </w:tblGrid>
      <w:tr w:rsidR="00672179" w:rsidRPr="00DC7C41" w14:paraId="4FE9E0ED" w14:textId="77777777" w:rsidTr="008369BD">
        <w:trPr>
          <w:trHeight w:val="4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824230" w14:textId="77777777" w:rsidR="00672179" w:rsidRPr="00DC7C41" w:rsidRDefault="00672179" w:rsidP="00DC7C41">
            <w:pPr>
              <w:pStyle w:val="Header"/>
              <w:rPr>
                <w:rFonts w:ascii="Helvetica 55 Roman" w:hAnsi="Helvetica 55 Roman"/>
                <w:b/>
                <w:snapToGrid w:val="0"/>
                <w:sz w:val="20"/>
                <w:lang w:val="fr-FR"/>
              </w:rPr>
            </w:pPr>
          </w:p>
          <w:p w14:paraId="3431F3E5" w14:textId="2A8EC7AA" w:rsidR="00672179" w:rsidRPr="00DC7C41" w:rsidRDefault="008369BD" w:rsidP="008369BD">
            <w:pPr>
              <w:pStyle w:val="Header"/>
              <w:rPr>
                <w:rFonts w:ascii="Helvetica 55 Roman" w:hAnsi="Helvetica 55 Roman"/>
                <w:b/>
                <w:snapToGrid w:val="0"/>
                <w:sz w:val="20"/>
                <w:lang w:val="fr-FR"/>
              </w:rPr>
            </w:pPr>
            <w:r>
              <w:rPr>
                <w:rFonts w:ascii="Helvetica 55 Roman" w:hAnsi="Helvetica 55 Roman"/>
                <w:b/>
                <w:snapToGrid w:val="0"/>
                <w:sz w:val="22"/>
                <w:lang w:val="fr-FR"/>
              </w:rPr>
              <w:t>Chiffres-clés financiers d’</w:t>
            </w:r>
            <w:r w:rsidR="00672179" w:rsidRPr="00DC7C41">
              <w:rPr>
                <w:rFonts w:ascii="Helvetica 55 Roman" w:hAnsi="Helvetica 55 Roman"/>
                <w:b/>
                <w:snapToGrid w:val="0"/>
                <w:sz w:val="22"/>
                <w:lang w:val="fr-FR"/>
              </w:rPr>
              <w:t>Orange Communications Luxembourg S.A.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666477" w14:textId="73E5CB12" w:rsidR="00672179" w:rsidRPr="00DC7C41" w:rsidRDefault="008369BD" w:rsidP="00DC7C41">
            <w:pPr>
              <w:pStyle w:val="Header"/>
              <w:jc w:val="center"/>
              <w:rPr>
                <w:rFonts w:ascii="Helvetica 55 Roman" w:hAnsi="Helvetica 55 Roman"/>
                <w:b/>
                <w:bCs/>
                <w:sz w:val="22"/>
                <w:szCs w:val="20"/>
                <w:lang w:val="fr-FR" w:eastAsia="nl-NL"/>
              </w:rPr>
            </w:pPr>
            <w:r>
              <w:rPr>
                <w:rFonts w:ascii="Helvetica 55 Roman" w:hAnsi="Helvetica 55 Roman"/>
                <w:b/>
                <w:bCs/>
                <w:sz w:val="22"/>
                <w:szCs w:val="20"/>
                <w:lang w:val="fr-FR" w:eastAsia="nl-NL"/>
              </w:rPr>
              <w:t>Année</w:t>
            </w:r>
            <w:r w:rsidR="00672179" w:rsidRPr="00DC7C41">
              <w:rPr>
                <w:rFonts w:ascii="Helvetica 55 Roman" w:hAnsi="Helvetica 55 Roman"/>
                <w:b/>
                <w:bCs/>
                <w:sz w:val="22"/>
                <w:szCs w:val="20"/>
                <w:lang w:val="fr-FR" w:eastAsia="nl-NL"/>
              </w:rPr>
              <w:t xml:space="preserve">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2925FD" w14:textId="5E8EC376" w:rsidR="00672179" w:rsidRPr="00DC7C41" w:rsidRDefault="008369BD" w:rsidP="00DC7C41">
            <w:pPr>
              <w:pStyle w:val="Header"/>
              <w:jc w:val="center"/>
              <w:rPr>
                <w:rFonts w:ascii="Helvetica 55 Roman" w:hAnsi="Helvetica 55 Roman"/>
                <w:b/>
                <w:bCs/>
                <w:sz w:val="22"/>
                <w:szCs w:val="20"/>
                <w:lang w:val="fr-FR" w:eastAsia="nl-NL"/>
              </w:rPr>
            </w:pPr>
            <w:r>
              <w:rPr>
                <w:rFonts w:ascii="Helvetica 55 Roman" w:hAnsi="Helvetica 55 Roman"/>
                <w:b/>
                <w:bCs/>
                <w:sz w:val="22"/>
                <w:szCs w:val="20"/>
                <w:lang w:val="fr-FR" w:eastAsia="nl-NL"/>
              </w:rPr>
              <w:t>Année</w:t>
            </w:r>
            <w:r w:rsidR="00672179" w:rsidRPr="00DC7C41">
              <w:rPr>
                <w:rFonts w:ascii="Helvetica 55 Roman" w:hAnsi="Helvetica 55 Roman"/>
                <w:b/>
                <w:bCs/>
                <w:sz w:val="22"/>
                <w:szCs w:val="20"/>
                <w:lang w:val="fr-FR" w:eastAsia="nl-NL"/>
              </w:rPr>
              <w:t xml:space="preserve">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A31F06" w14:textId="77777777" w:rsidR="00672179" w:rsidRPr="00DC7C41" w:rsidRDefault="00672179" w:rsidP="00DC7C41">
            <w:pPr>
              <w:pStyle w:val="Header"/>
              <w:jc w:val="center"/>
              <w:rPr>
                <w:rFonts w:ascii="Helvetica 55 Roman" w:hAnsi="Helvetica 55 Roman"/>
                <w:b/>
                <w:snapToGrid w:val="0"/>
                <w:sz w:val="20"/>
                <w:lang w:val="fr-FR"/>
              </w:rPr>
            </w:pPr>
            <w:r w:rsidRPr="00DC7C41">
              <w:rPr>
                <w:rFonts w:ascii="Helvetica 55 Roman" w:hAnsi="Helvetica 55 Roman"/>
                <w:b/>
                <w:snapToGrid w:val="0"/>
                <w:sz w:val="20"/>
                <w:lang w:val="fr-FR"/>
              </w:rPr>
              <w:t>Variation</w:t>
            </w:r>
          </w:p>
        </w:tc>
      </w:tr>
      <w:tr w:rsidR="00672179" w:rsidRPr="00DC7C41" w14:paraId="57DD8234" w14:textId="77777777" w:rsidTr="008369BD">
        <w:trPr>
          <w:trHeight w:val="222"/>
        </w:trPr>
        <w:tc>
          <w:tcPr>
            <w:tcW w:w="4678" w:type="dxa"/>
            <w:vAlign w:val="center"/>
          </w:tcPr>
          <w:p w14:paraId="5A66C355" w14:textId="629CAC23" w:rsidR="00672179" w:rsidRPr="00DC7C41" w:rsidRDefault="008369BD" w:rsidP="00DC7C41">
            <w:pPr>
              <w:pStyle w:val="Header"/>
              <w:rPr>
                <w:rFonts w:ascii="Helvetica 55 Roman" w:hAnsi="Helvetica 55 Roman"/>
                <w:snapToGrid w:val="0"/>
                <w:sz w:val="20"/>
                <w:lang w:val="fr-FR"/>
              </w:rPr>
            </w:pPr>
            <w:r>
              <w:rPr>
                <w:rFonts w:ascii="Helvetica 55 Roman" w:hAnsi="Helvetica 55 Roman"/>
                <w:snapToGrid w:val="0"/>
                <w:sz w:val="20"/>
                <w:lang w:val="fr-FR"/>
              </w:rPr>
              <w:t>Chiffre d’affaire total</w:t>
            </w:r>
            <w:r w:rsidR="00672179" w:rsidRPr="00DC7C41">
              <w:rPr>
                <w:rFonts w:ascii="Helvetica 55 Roman" w:hAnsi="Helvetica 55 Roman"/>
                <w:snapToGrid w:val="0"/>
                <w:sz w:val="20"/>
                <w:lang w:val="fr-FR"/>
              </w:rPr>
              <w:t xml:space="preserve"> (million</w:t>
            </w:r>
            <w:r>
              <w:rPr>
                <w:rFonts w:ascii="Helvetica 55 Roman" w:hAnsi="Helvetica 55 Roman"/>
                <w:snapToGrid w:val="0"/>
                <w:sz w:val="20"/>
                <w:lang w:val="fr-FR"/>
              </w:rPr>
              <w:t>s</w:t>
            </w:r>
            <w:r w:rsidR="00672179" w:rsidRPr="00DC7C41">
              <w:rPr>
                <w:rFonts w:ascii="Helvetica 55 Roman" w:hAnsi="Helvetica 55 Roman"/>
                <w:snapToGrid w:val="0"/>
                <w:sz w:val="20"/>
                <w:lang w:val="fr-FR"/>
              </w:rPr>
              <w:t xml:space="preserve"> €)</w:t>
            </w:r>
          </w:p>
        </w:tc>
        <w:tc>
          <w:tcPr>
            <w:tcW w:w="1418" w:type="dxa"/>
            <w:vAlign w:val="bottom"/>
          </w:tcPr>
          <w:p w14:paraId="3360688D" w14:textId="003514D5" w:rsidR="00672179" w:rsidRPr="00DC7C41" w:rsidDel="00214823" w:rsidRDefault="008369BD" w:rsidP="00DC7C41">
            <w:pPr>
              <w:jc w:val="right"/>
              <w:rPr>
                <w:rFonts w:ascii="Helvetica 55 Roman" w:hAnsi="Helvetica 55 Roman" w:cs="Arial"/>
                <w:sz w:val="20"/>
                <w:szCs w:val="20"/>
                <w:lang w:val="fr-FR"/>
              </w:rPr>
            </w:pPr>
            <w:r>
              <w:rPr>
                <w:rFonts w:ascii="Helvetica 55 Roman" w:hAnsi="Helvetica 55 Roman" w:cs="Arial"/>
                <w:sz w:val="20"/>
                <w:szCs w:val="20"/>
                <w:lang w:val="fr-FR"/>
              </w:rPr>
              <w:t>75,</w:t>
            </w:r>
            <w:r w:rsidR="00672179" w:rsidRPr="00DC7C41">
              <w:rPr>
                <w:rFonts w:ascii="Helvetica 55 Roman" w:hAnsi="Helvetica 55 Roman" w:cs="Arial"/>
                <w:sz w:val="20"/>
                <w:szCs w:val="20"/>
                <w:lang w:val="fr-FR"/>
              </w:rPr>
              <w:t>6</w:t>
            </w:r>
          </w:p>
        </w:tc>
        <w:tc>
          <w:tcPr>
            <w:tcW w:w="1134" w:type="dxa"/>
            <w:vAlign w:val="bottom"/>
          </w:tcPr>
          <w:p w14:paraId="1497A671" w14:textId="5D058886" w:rsidR="00672179" w:rsidRPr="00DC7C41" w:rsidDel="00214823" w:rsidRDefault="008369BD" w:rsidP="00DC7C41">
            <w:pPr>
              <w:jc w:val="right"/>
              <w:rPr>
                <w:rFonts w:ascii="Helvetica 55 Roman" w:hAnsi="Helvetica 55 Roman" w:cs="Arial"/>
                <w:sz w:val="20"/>
                <w:szCs w:val="20"/>
                <w:lang w:val="fr-FR"/>
              </w:rPr>
            </w:pPr>
            <w:r>
              <w:rPr>
                <w:rFonts w:ascii="Helvetica 55 Roman" w:hAnsi="Helvetica 55 Roman" w:cs="Arial"/>
                <w:sz w:val="20"/>
                <w:szCs w:val="20"/>
                <w:lang w:val="fr-FR"/>
              </w:rPr>
              <w:t>75,</w:t>
            </w:r>
            <w:r w:rsidR="00672179" w:rsidRPr="00DC7C41">
              <w:rPr>
                <w:rFonts w:ascii="Helvetica 55 Roman" w:hAnsi="Helvetica 55 Roman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1559" w:type="dxa"/>
            <w:vAlign w:val="bottom"/>
          </w:tcPr>
          <w:p w14:paraId="18D8FFE4" w14:textId="268BBC0E" w:rsidR="00672179" w:rsidRPr="00DC7C41" w:rsidRDefault="008369BD" w:rsidP="00DC7C41">
            <w:pPr>
              <w:jc w:val="right"/>
              <w:rPr>
                <w:rFonts w:ascii="Helvetica 55 Roman" w:hAnsi="Helvetica 55 Roman" w:cs="Arial"/>
                <w:sz w:val="20"/>
                <w:szCs w:val="20"/>
                <w:lang w:val="fr-FR"/>
              </w:rPr>
            </w:pPr>
            <w:r>
              <w:rPr>
                <w:rFonts w:ascii="Helvetica 55 Roman" w:hAnsi="Helvetica 55 Roman" w:cs="Arial"/>
                <w:sz w:val="20"/>
                <w:szCs w:val="20"/>
                <w:lang w:val="fr-FR"/>
              </w:rPr>
              <w:t>+0,</w:t>
            </w:r>
            <w:r w:rsidR="00672179" w:rsidRPr="00DC7C41">
              <w:rPr>
                <w:rFonts w:ascii="Helvetica 55 Roman" w:hAnsi="Helvetica 55 Roman" w:cs="Arial"/>
                <w:sz w:val="20"/>
                <w:szCs w:val="20"/>
                <w:lang w:val="fr-FR"/>
              </w:rPr>
              <w:t>1 %</w:t>
            </w:r>
          </w:p>
        </w:tc>
      </w:tr>
    </w:tbl>
    <w:p w14:paraId="5405EAA9" w14:textId="77777777" w:rsidR="00672179" w:rsidRPr="00DC7C41" w:rsidRDefault="00672179" w:rsidP="00672179">
      <w:pPr>
        <w:jc w:val="both"/>
        <w:rPr>
          <w:rFonts w:ascii="Helvetica 55 Roman" w:hAnsi="Helvetica 55 Roman" w:cs="Calibri"/>
          <w:lang w:val="fr-FR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134"/>
        <w:gridCol w:w="1559"/>
      </w:tblGrid>
      <w:tr w:rsidR="00672179" w:rsidRPr="00DC7C41" w14:paraId="6F2F9028" w14:textId="77777777" w:rsidTr="008369BD">
        <w:trPr>
          <w:trHeight w:val="328"/>
        </w:trPr>
        <w:tc>
          <w:tcPr>
            <w:tcW w:w="4678" w:type="dxa"/>
            <w:shd w:val="clear" w:color="auto" w:fill="C0C0C0"/>
            <w:vAlign w:val="bottom"/>
          </w:tcPr>
          <w:p w14:paraId="02083FB9" w14:textId="5BB5047B" w:rsidR="00672179" w:rsidRPr="00DC7C41" w:rsidRDefault="008369BD" w:rsidP="00DC7C41">
            <w:pPr>
              <w:rPr>
                <w:rFonts w:ascii="Helvetica 55 Roman" w:hAnsi="Helvetica 55 Roman"/>
                <w:b/>
                <w:bCs/>
                <w:szCs w:val="20"/>
                <w:lang w:val="fr-FR" w:eastAsia="nl-NL"/>
              </w:rPr>
            </w:pPr>
            <w:r>
              <w:rPr>
                <w:rFonts w:ascii="Helvetica 55 Roman" w:hAnsi="Helvetica 55 Roman"/>
                <w:b/>
                <w:bCs/>
                <w:szCs w:val="20"/>
                <w:lang w:val="fr-FR" w:eastAsia="nl-NL"/>
              </w:rPr>
              <w:t>Chiffres-clés opérationnels</w:t>
            </w:r>
            <w:r w:rsidR="00672179" w:rsidRPr="00DC7C41">
              <w:rPr>
                <w:rFonts w:ascii="Helvetica 55 Roman" w:hAnsi="Helvetica 55 Roman"/>
                <w:b/>
                <w:bCs/>
                <w:szCs w:val="20"/>
                <w:lang w:val="fr-FR" w:eastAsia="nl-NL"/>
              </w:rPr>
              <w:t xml:space="preserve"> </w:t>
            </w:r>
            <w:r>
              <w:rPr>
                <w:rFonts w:ascii="Helvetica 55 Roman" w:hAnsi="Helvetica 55 Roman"/>
                <w:b/>
                <w:bCs/>
                <w:szCs w:val="20"/>
                <w:lang w:val="fr-FR" w:eastAsia="nl-NL"/>
              </w:rPr>
              <w:t>d’</w:t>
            </w:r>
            <w:r w:rsidR="00672179" w:rsidRPr="00DC7C41">
              <w:rPr>
                <w:rFonts w:ascii="Helvetica 55 Roman" w:hAnsi="Helvetica 55 Roman"/>
                <w:b/>
                <w:bCs/>
                <w:szCs w:val="20"/>
                <w:lang w:val="fr-FR" w:eastAsia="nl-NL"/>
              </w:rPr>
              <w:t>Orange Communications Luxembourg S.A.</w:t>
            </w:r>
          </w:p>
        </w:tc>
        <w:tc>
          <w:tcPr>
            <w:tcW w:w="1418" w:type="dxa"/>
            <w:shd w:val="clear" w:color="auto" w:fill="C0C0C0"/>
            <w:vAlign w:val="bottom"/>
          </w:tcPr>
          <w:p w14:paraId="11814605" w14:textId="77777777" w:rsidR="00672179" w:rsidRPr="00DC7C41" w:rsidRDefault="00672179" w:rsidP="00DC7C41">
            <w:pPr>
              <w:jc w:val="center"/>
              <w:rPr>
                <w:rFonts w:ascii="Helvetica 55 Roman" w:hAnsi="Helvetica 55 Roman"/>
                <w:bCs/>
                <w:szCs w:val="20"/>
                <w:lang w:val="fr-FR" w:eastAsia="nl-NL"/>
              </w:rPr>
            </w:pPr>
            <w:r w:rsidRPr="00DC7C41">
              <w:rPr>
                <w:rFonts w:ascii="Helvetica 55 Roman" w:hAnsi="Helvetica 55 Roman"/>
                <w:b/>
                <w:bCs/>
                <w:szCs w:val="20"/>
                <w:lang w:val="fr-FR" w:eastAsia="nl-NL"/>
              </w:rPr>
              <w:t xml:space="preserve">Full </w:t>
            </w:r>
            <w:proofErr w:type="spellStart"/>
            <w:r w:rsidRPr="00DC7C41">
              <w:rPr>
                <w:rFonts w:ascii="Helvetica 55 Roman" w:hAnsi="Helvetica 55 Roman"/>
                <w:b/>
                <w:bCs/>
                <w:szCs w:val="20"/>
                <w:lang w:val="fr-FR" w:eastAsia="nl-NL"/>
              </w:rPr>
              <w:t>Year</w:t>
            </w:r>
            <w:proofErr w:type="spellEnd"/>
            <w:r w:rsidRPr="00DC7C41">
              <w:rPr>
                <w:rFonts w:ascii="Helvetica 55 Roman" w:hAnsi="Helvetica 55 Roman"/>
                <w:b/>
                <w:bCs/>
                <w:szCs w:val="20"/>
                <w:lang w:val="fr-FR" w:eastAsia="nl-NL"/>
              </w:rPr>
              <w:t xml:space="preserve"> 2013</w:t>
            </w:r>
          </w:p>
        </w:tc>
        <w:tc>
          <w:tcPr>
            <w:tcW w:w="1134" w:type="dxa"/>
            <w:shd w:val="clear" w:color="auto" w:fill="C0C0C0"/>
            <w:vAlign w:val="bottom"/>
          </w:tcPr>
          <w:p w14:paraId="2767EEEF" w14:textId="77777777" w:rsidR="00672179" w:rsidRPr="00DC7C41" w:rsidRDefault="00672179" w:rsidP="00DC7C41">
            <w:pPr>
              <w:jc w:val="center"/>
              <w:rPr>
                <w:rFonts w:ascii="Helvetica 55 Roman" w:hAnsi="Helvetica 55 Roman"/>
                <w:bCs/>
                <w:szCs w:val="20"/>
                <w:lang w:val="fr-FR" w:eastAsia="nl-NL"/>
              </w:rPr>
            </w:pPr>
            <w:r w:rsidRPr="00DC7C41">
              <w:rPr>
                <w:rFonts w:ascii="Helvetica 55 Roman" w:hAnsi="Helvetica 55 Roman"/>
                <w:b/>
                <w:bCs/>
                <w:szCs w:val="20"/>
                <w:lang w:val="fr-FR" w:eastAsia="nl-NL"/>
              </w:rPr>
              <w:t xml:space="preserve">Full </w:t>
            </w:r>
            <w:proofErr w:type="spellStart"/>
            <w:r w:rsidRPr="00DC7C41">
              <w:rPr>
                <w:rFonts w:ascii="Helvetica 55 Roman" w:hAnsi="Helvetica 55 Roman"/>
                <w:b/>
                <w:bCs/>
                <w:szCs w:val="20"/>
                <w:lang w:val="fr-FR" w:eastAsia="nl-NL"/>
              </w:rPr>
              <w:t>Year</w:t>
            </w:r>
            <w:proofErr w:type="spellEnd"/>
            <w:r w:rsidRPr="00DC7C41">
              <w:rPr>
                <w:rFonts w:ascii="Helvetica 55 Roman" w:hAnsi="Helvetica 55 Roman"/>
                <w:b/>
                <w:bCs/>
                <w:szCs w:val="20"/>
                <w:lang w:val="fr-FR" w:eastAsia="nl-NL"/>
              </w:rPr>
              <w:t xml:space="preserve"> 2012</w:t>
            </w:r>
          </w:p>
        </w:tc>
        <w:tc>
          <w:tcPr>
            <w:tcW w:w="1559" w:type="dxa"/>
            <w:shd w:val="clear" w:color="auto" w:fill="C0C0C0"/>
            <w:noWrap/>
            <w:vAlign w:val="bottom"/>
          </w:tcPr>
          <w:p w14:paraId="59460B62" w14:textId="77777777" w:rsidR="00672179" w:rsidRPr="00DC7C41" w:rsidRDefault="00672179" w:rsidP="00DC7C41">
            <w:pPr>
              <w:jc w:val="center"/>
              <w:rPr>
                <w:rFonts w:ascii="Helvetica 55 Roman" w:hAnsi="Helvetica 55 Roman"/>
                <w:bCs/>
                <w:szCs w:val="20"/>
                <w:lang w:val="fr-FR" w:eastAsia="nl-NL"/>
              </w:rPr>
            </w:pPr>
            <w:r w:rsidRPr="00DC7C41">
              <w:rPr>
                <w:rFonts w:ascii="Helvetica 55 Roman" w:hAnsi="Helvetica 55 Roman"/>
                <w:b/>
                <w:bCs/>
                <w:szCs w:val="20"/>
                <w:lang w:val="fr-FR" w:eastAsia="nl-NL"/>
              </w:rPr>
              <w:t>Variation</w:t>
            </w:r>
          </w:p>
        </w:tc>
      </w:tr>
      <w:tr w:rsidR="00672179" w:rsidRPr="00DC7C41" w14:paraId="46CF7D2F" w14:textId="77777777" w:rsidTr="008369B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4678" w:type="dxa"/>
            <w:vAlign w:val="center"/>
          </w:tcPr>
          <w:p w14:paraId="0EBA3B68" w14:textId="1CD9A31F" w:rsidR="00672179" w:rsidRPr="00DC7C41" w:rsidRDefault="008369BD" w:rsidP="008369BD">
            <w:pPr>
              <w:pStyle w:val="Header"/>
              <w:rPr>
                <w:rFonts w:ascii="Helvetica 55 Roman" w:hAnsi="Helvetica 55 Roman"/>
                <w:snapToGrid w:val="0"/>
                <w:sz w:val="20"/>
                <w:lang w:val="fr-FR"/>
              </w:rPr>
            </w:pPr>
            <w:r>
              <w:rPr>
                <w:rFonts w:ascii="Helvetica 55 Roman" w:hAnsi="Helvetica 55 Roman"/>
                <w:snapToGrid w:val="0"/>
                <w:sz w:val="20"/>
                <w:lang w:val="fr-FR"/>
              </w:rPr>
              <w:lastRenderedPageBreak/>
              <w:t xml:space="preserve">Nombre total de clients actifs </w:t>
            </w:r>
            <w:r w:rsidR="00672179" w:rsidRPr="00DC7C41">
              <w:rPr>
                <w:rFonts w:ascii="Helvetica 55 Roman" w:hAnsi="Helvetica 55 Roman"/>
                <w:snapToGrid w:val="0"/>
                <w:sz w:val="20"/>
                <w:lang w:val="fr-FR"/>
              </w:rPr>
              <w:t>(</w:t>
            </w:r>
            <w:r>
              <w:rPr>
                <w:rFonts w:ascii="Helvetica 55 Roman" w:hAnsi="Helvetica 55 Roman"/>
                <w:snapToGrid w:val="0"/>
                <w:sz w:val="20"/>
                <w:lang w:val="fr-FR"/>
              </w:rPr>
              <w:t xml:space="preserve">téléphonie </w:t>
            </w:r>
            <w:r w:rsidR="00672179" w:rsidRPr="00DC7C41">
              <w:rPr>
                <w:rFonts w:ascii="Helvetica 55 Roman" w:hAnsi="Helvetica 55 Roman"/>
                <w:snapToGrid w:val="0"/>
                <w:sz w:val="20"/>
                <w:lang w:val="fr-FR"/>
              </w:rPr>
              <w:t xml:space="preserve">mobile) </w:t>
            </w:r>
            <w:r w:rsidR="00672179" w:rsidRPr="00DC7C41">
              <w:rPr>
                <w:rFonts w:ascii="Helvetica 55 Roman" w:hAnsi="Helvetica 55 Roman"/>
                <w:snapToGrid w:val="0"/>
                <w:sz w:val="20"/>
                <w:vertAlign w:val="superscript"/>
                <w:lang w:val="fr-FR"/>
              </w:rPr>
              <w:t>(</w:t>
            </w:r>
            <w:r w:rsidR="00672179" w:rsidRPr="00DC7C41">
              <w:rPr>
                <w:rFonts w:ascii="Helvetica 55 Roman" w:hAnsi="Helvetica 55 Roman"/>
                <w:snapToGrid w:val="0"/>
                <w:sz w:val="20"/>
                <w:vertAlign w:val="superscript"/>
                <w:lang w:val="fr-FR"/>
              </w:rPr>
              <w:footnoteReference w:id="1"/>
            </w:r>
            <w:r w:rsidR="00672179" w:rsidRPr="00DC7C41">
              <w:rPr>
                <w:rFonts w:ascii="Helvetica 55 Roman" w:hAnsi="Helvetica 55 Roman"/>
                <w:snapToGrid w:val="0"/>
                <w:sz w:val="20"/>
                <w:vertAlign w:val="superscript"/>
                <w:lang w:val="fr-FR"/>
              </w:rPr>
              <w:t>)</w:t>
            </w:r>
          </w:p>
        </w:tc>
        <w:tc>
          <w:tcPr>
            <w:tcW w:w="1418" w:type="dxa"/>
            <w:vAlign w:val="bottom"/>
          </w:tcPr>
          <w:p w14:paraId="1985B56A" w14:textId="1D40D166" w:rsidR="00672179" w:rsidRPr="00DC7C41" w:rsidDel="00214823" w:rsidRDefault="008369BD" w:rsidP="00DC7C41">
            <w:pPr>
              <w:jc w:val="right"/>
              <w:rPr>
                <w:rFonts w:ascii="Helvetica 55 Roman" w:hAnsi="Helvetica 55 Roman" w:cs="Arial"/>
                <w:sz w:val="20"/>
                <w:szCs w:val="20"/>
                <w:lang w:val="fr-FR"/>
              </w:rPr>
            </w:pPr>
            <w:r>
              <w:rPr>
                <w:rFonts w:ascii="Helvetica 55 Roman" w:hAnsi="Helvetica 55 Roman" w:cs="Arial"/>
                <w:sz w:val="20"/>
                <w:szCs w:val="20"/>
                <w:lang w:val="fr-FR"/>
              </w:rPr>
              <w:t>102.</w:t>
            </w:r>
            <w:r w:rsidR="00672179" w:rsidRPr="00DC7C41">
              <w:rPr>
                <w:rFonts w:ascii="Helvetica 55 Roman" w:hAnsi="Helvetica 55 Roman" w:cs="Arial"/>
                <w:sz w:val="20"/>
                <w:szCs w:val="20"/>
                <w:lang w:val="fr-FR"/>
              </w:rPr>
              <w:t>179</w:t>
            </w:r>
          </w:p>
        </w:tc>
        <w:tc>
          <w:tcPr>
            <w:tcW w:w="1134" w:type="dxa"/>
            <w:vAlign w:val="bottom"/>
          </w:tcPr>
          <w:p w14:paraId="398D5290" w14:textId="60FB2900" w:rsidR="00672179" w:rsidRPr="00DC7C41" w:rsidDel="00214823" w:rsidRDefault="008369BD" w:rsidP="00DC7C41">
            <w:pPr>
              <w:jc w:val="right"/>
              <w:rPr>
                <w:rFonts w:ascii="Helvetica 55 Roman" w:hAnsi="Helvetica 55 Roman" w:cs="Arial"/>
                <w:sz w:val="20"/>
                <w:szCs w:val="20"/>
                <w:lang w:val="fr-FR"/>
              </w:rPr>
            </w:pPr>
            <w:r>
              <w:rPr>
                <w:rFonts w:ascii="Helvetica 55 Roman" w:hAnsi="Helvetica 55 Roman" w:cs="Arial"/>
                <w:sz w:val="20"/>
                <w:szCs w:val="20"/>
                <w:lang w:val="fr-FR"/>
              </w:rPr>
              <w:t>105.</w:t>
            </w:r>
            <w:r w:rsidR="00672179" w:rsidRPr="00DC7C41">
              <w:rPr>
                <w:rFonts w:ascii="Helvetica 55 Roman" w:hAnsi="Helvetica 55 Roman" w:cs="Arial"/>
                <w:sz w:val="20"/>
                <w:szCs w:val="20"/>
                <w:lang w:val="fr-FR"/>
              </w:rPr>
              <w:t>805</w:t>
            </w:r>
          </w:p>
        </w:tc>
        <w:tc>
          <w:tcPr>
            <w:tcW w:w="1559" w:type="dxa"/>
            <w:vAlign w:val="bottom"/>
          </w:tcPr>
          <w:p w14:paraId="7DA53AD8" w14:textId="3B8F2D93" w:rsidR="00672179" w:rsidRPr="00DC7C41" w:rsidRDefault="008369BD" w:rsidP="00DC7C41">
            <w:pPr>
              <w:jc w:val="right"/>
              <w:rPr>
                <w:rFonts w:ascii="Helvetica 55 Roman" w:hAnsi="Helvetica 55 Roman" w:cs="Arial"/>
                <w:sz w:val="20"/>
                <w:szCs w:val="20"/>
                <w:lang w:val="fr-FR"/>
              </w:rPr>
            </w:pPr>
            <w:r>
              <w:rPr>
                <w:rFonts w:ascii="Helvetica 55 Roman" w:hAnsi="Helvetica 55 Roman" w:cs="Arial"/>
                <w:sz w:val="20"/>
                <w:szCs w:val="20"/>
                <w:lang w:val="fr-FR"/>
              </w:rPr>
              <w:t>-3,</w:t>
            </w:r>
            <w:r w:rsidR="00672179" w:rsidRPr="00DC7C41">
              <w:rPr>
                <w:rFonts w:ascii="Helvetica 55 Roman" w:hAnsi="Helvetica 55 Roman" w:cs="Arial"/>
                <w:sz w:val="20"/>
                <w:szCs w:val="20"/>
                <w:lang w:val="fr-FR"/>
              </w:rPr>
              <w:t>4 %</w:t>
            </w:r>
          </w:p>
        </w:tc>
      </w:tr>
      <w:tr w:rsidR="00672179" w:rsidRPr="00DC7C41" w14:paraId="4B07C839" w14:textId="77777777" w:rsidTr="008369B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4678" w:type="dxa"/>
            <w:vAlign w:val="center"/>
          </w:tcPr>
          <w:p w14:paraId="210252B6" w14:textId="7CF55A3C" w:rsidR="00672179" w:rsidRPr="00DC7C41" w:rsidRDefault="00672179" w:rsidP="008369BD">
            <w:pPr>
              <w:pStyle w:val="Header"/>
              <w:rPr>
                <w:rFonts w:ascii="Helvetica 55 Roman" w:hAnsi="Helvetica 55 Roman"/>
                <w:snapToGrid w:val="0"/>
                <w:sz w:val="20"/>
                <w:lang w:val="fr-FR"/>
              </w:rPr>
            </w:pPr>
            <w:r w:rsidRPr="00DC7C41">
              <w:rPr>
                <w:rFonts w:ascii="Helvetica 55 Roman" w:hAnsi="Helvetica 55 Roman"/>
                <w:snapToGrid w:val="0"/>
                <w:sz w:val="20"/>
                <w:lang w:val="fr-FR"/>
              </w:rPr>
              <w:t>ARPU</w:t>
            </w:r>
            <w:r w:rsidRPr="00DC7C41">
              <w:rPr>
                <w:rFonts w:ascii="Helvetica 55 Roman" w:hAnsi="Helvetica 55 Roman"/>
                <w:snapToGrid w:val="0"/>
                <w:sz w:val="20"/>
                <w:vertAlign w:val="superscript"/>
                <w:lang w:val="fr-FR"/>
              </w:rPr>
              <w:t>(</w:t>
            </w:r>
            <w:r w:rsidRPr="00DC7C41">
              <w:rPr>
                <w:rFonts w:ascii="Helvetica 55 Roman" w:hAnsi="Helvetica 55 Roman"/>
                <w:snapToGrid w:val="0"/>
                <w:sz w:val="20"/>
                <w:vertAlign w:val="superscript"/>
                <w:lang w:val="fr-FR"/>
              </w:rPr>
              <w:footnoteReference w:id="2"/>
            </w:r>
            <w:r w:rsidRPr="00DC7C41">
              <w:rPr>
                <w:rFonts w:ascii="Helvetica 55 Roman" w:hAnsi="Helvetica 55 Roman"/>
                <w:snapToGrid w:val="0"/>
                <w:sz w:val="20"/>
                <w:vertAlign w:val="superscript"/>
                <w:lang w:val="fr-FR"/>
              </w:rPr>
              <w:t xml:space="preserve">) </w:t>
            </w:r>
            <w:r w:rsidRPr="00DC7C41">
              <w:rPr>
                <w:rFonts w:ascii="Helvetica 55 Roman" w:hAnsi="Helvetica 55 Roman"/>
                <w:snapToGrid w:val="0"/>
                <w:sz w:val="20"/>
                <w:lang w:val="fr-FR"/>
              </w:rPr>
              <w:t>(€/mo</w:t>
            </w:r>
            <w:r w:rsidR="008369BD">
              <w:rPr>
                <w:rFonts w:ascii="Helvetica 55 Roman" w:hAnsi="Helvetica 55 Roman"/>
                <w:snapToGrid w:val="0"/>
                <w:sz w:val="20"/>
                <w:lang w:val="fr-FR"/>
              </w:rPr>
              <w:t>is</w:t>
            </w:r>
            <w:r w:rsidRPr="00DC7C41">
              <w:rPr>
                <w:rFonts w:ascii="Helvetica 55 Roman" w:hAnsi="Helvetica 55 Roman"/>
                <w:snapToGrid w:val="0"/>
                <w:sz w:val="20"/>
                <w:lang w:val="fr-FR"/>
              </w:rPr>
              <w:t>/</w:t>
            </w:r>
            <w:r w:rsidR="008369BD">
              <w:rPr>
                <w:rFonts w:ascii="Helvetica 55 Roman" w:hAnsi="Helvetica 55 Roman"/>
                <w:snapToGrid w:val="0"/>
                <w:sz w:val="20"/>
                <w:lang w:val="fr-FR"/>
              </w:rPr>
              <w:t>client actif</w:t>
            </w:r>
            <w:r w:rsidRPr="00DC7C41">
              <w:rPr>
                <w:rFonts w:ascii="Helvetica 55 Roman" w:hAnsi="Helvetica 55 Roman"/>
                <w:snapToGrid w:val="0"/>
                <w:sz w:val="20"/>
                <w:lang w:val="fr-FR"/>
              </w:rPr>
              <w:t>)</w:t>
            </w:r>
          </w:p>
        </w:tc>
        <w:tc>
          <w:tcPr>
            <w:tcW w:w="1418" w:type="dxa"/>
            <w:vAlign w:val="bottom"/>
          </w:tcPr>
          <w:p w14:paraId="712BD366" w14:textId="059F1511" w:rsidR="00672179" w:rsidRPr="00DC7C41" w:rsidDel="00214823" w:rsidRDefault="008369BD" w:rsidP="00DC7C41">
            <w:pPr>
              <w:jc w:val="right"/>
              <w:rPr>
                <w:rFonts w:ascii="Helvetica 55 Roman" w:hAnsi="Helvetica 55 Roman" w:cs="Arial"/>
                <w:sz w:val="20"/>
                <w:szCs w:val="20"/>
                <w:lang w:val="fr-FR"/>
              </w:rPr>
            </w:pPr>
            <w:r>
              <w:rPr>
                <w:rFonts w:ascii="Helvetica 55 Roman" w:hAnsi="Helvetica 55 Roman" w:cs="Arial"/>
                <w:sz w:val="20"/>
                <w:szCs w:val="20"/>
                <w:lang w:val="fr-FR"/>
              </w:rPr>
              <w:t>50,</w:t>
            </w:r>
            <w:r w:rsidR="00672179" w:rsidRPr="00DC7C41">
              <w:rPr>
                <w:rFonts w:ascii="Helvetica 55 Roman" w:hAnsi="Helvetica 55 Roman" w:cs="Arial"/>
                <w:sz w:val="20"/>
                <w:szCs w:val="20"/>
                <w:lang w:val="fr-FR"/>
              </w:rPr>
              <w:t>15</w:t>
            </w:r>
          </w:p>
        </w:tc>
        <w:tc>
          <w:tcPr>
            <w:tcW w:w="1134" w:type="dxa"/>
            <w:vAlign w:val="bottom"/>
          </w:tcPr>
          <w:p w14:paraId="3959F49B" w14:textId="3BB429DB" w:rsidR="00672179" w:rsidRPr="00DC7C41" w:rsidDel="00214823" w:rsidRDefault="008369BD" w:rsidP="00DC7C41">
            <w:pPr>
              <w:jc w:val="right"/>
              <w:rPr>
                <w:rFonts w:ascii="Helvetica 55 Roman" w:hAnsi="Helvetica 55 Roman" w:cs="Arial"/>
                <w:sz w:val="20"/>
                <w:szCs w:val="20"/>
                <w:lang w:val="fr-FR"/>
              </w:rPr>
            </w:pPr>
            <w:r>
              <w:rPr>
                <w:rFonts w:ascii="Helvetica 55 Roman" w:hAnsi="Helvetica 55 Roman" w:cs="Arial"/>
                <w:sz w:val="20"/>
                <w:szCs w:val="20"/>
                <w:lang w:val="fr-FR"/>
              </w:rPr>
              <w:t>51,</w:t>
            </w:r>
            <w:r w:rsidR="00672179" w:rsidRPr="00DC7C41">
              <w:rPr>
                <w:rFonts w:ascii="Helvetica 55 Roman" w:hAnsi="Helvetica 55 Roman" w:cs="Arial"/>
                <w:sz w:val="20"/>
                <w:szCs w:val="20"/>
                <w:lang w:val="fr-FR"/>
              </w:rPr>
              <w:t>88</w:t>
            </w:r>
          </w:p>
        </w:tc>
        <w:tc>
          <w:tcPr>
            <w:tcW w:w="1559" w:type="dxa"/>
            <w:vAlign w:val="bottom"/>
          </w:tcPr>
          <w:p w14:paraId="4B099E39" w14:textId="2B10D922" w:rsidR="00672179" w:rsidRPr="00DC7C41" w:rsidRDefault="008369BD" w:rsidP="00DC7C41">
            <w:pPr>
              <w:jc w:val="right"/>
              <w:rPr>
                <w:rFonts w:ascii="Helvetica 55 Roman" w:hAnsi="Helvetica 55 Roman" w:cs="Arial"/>
                <w:sz w:val="20"/>
                <w:szCs w:val="20"/>
                <w:lang w:val="fr-FR"/>
              </w:rPr>
            </w:pPr>
            <w:r>
              <w:rPr>
                <w:rFonts w:ascii="Helvetica 55 Roman" w:hAnsi="Helvetica 55 Roman" w:cs="Arial"/>
                <w:sz w:val="20"/>
                <w:szCs w:val="20"/>
                <w:lang w:val="fr-FR"/>
              </w:rPr>
              <w:t>-3,</w:t>
            </w:r>
            <w:r w:rsidR="00672179" w:rsidRPr="00DC7C41">
              <w:rPr>
                <w:rFonts w:ascii="Helvetica 55 Roman" w:hAnsi="Helvetica 55 Roman" w:cs="Arial"/>
                <w:sz w:val="20"/>
                <w:szCs w:val="20"/>
                <w:lang w:val="fr-FR"/>
              </w:rPr>
              <w:t>3 %</w:t>
            </w:r>
          </w:p>
        </w:tc>
      </w:tr>
    </w:tbl>
    <w:p w14:paraId="0499128B" w14:textId="77777777" w:rsidR="00672179" w:rsidRPr="00DC7C41" w:rsidRDefault="00672179" w:rsidP="00DF1464">
      <w:pPr>
        <w:jc w:val="both"/>
        <w:rPr>
          <w:rFonts w:ascii="Helvetica 55 Roman" w:eastAsia="Times New Roman" w:hAnsi="Helvetica 55 Roman"/>
          <w:lang w:val="fr-FR"/>
        </w:rPr>
      </w:pPr>
    </w:p>
    <w:p w14:paraId="7EB7DA0C" w14:textId="511D1A92" w:rsidR="00672179" w:rsidRPr="008369BD" w:rsidRDefault="008369BD" w:rsidP="008369BD">
      <w:pPr>
        <w:jc w:val="both"/>
        <w:rPr>
          <w:rFonts w:ascii="Helvetica 55 Roman" w:eastAsia="Times New Roman" w:hAnsi="Helvetica 55 Roman"/>
          <w:lang w:val="fr-FR"/>
        </w:rPr>
      </w:pPr>
      <w:r>
        <w:rPr>
          <w:rFonts w:ascii="Helvetica 55 Roman" w:eastAsia="Times New Roman" w:hAnsi="Helvetica 55 Roman"/>
          <w:lang w:val="fr-FR"/>
        </w:rPr>
        <w:t xml:space="preserve">Fin décembre 2013, </w:t>
      </w:r>
      <w:r w:rsidR="00672179" w:rsidRPr="008369BD">
        <w:rPr>
          <w:rFonts w:ascii="Helvetica 55 Roman" w:hAnsi="Helvetica 55 Roman" w:cs="Times New Roman"/>
          <w:bCs/>
          <w:iCs/>
          <w:lang w:val="fr-FR"/>
        </w:rPr>
        <w:t xml:space="preserve">Orange Communications Luxembourg S.A. </w:t>
      </w:r>
      <w:r>
        <w:rPr>
          <w:rFonts w:ascii="Helvetica 55 Roman" w:hAnsi="Helvetica 55 Roman" w:cs="Times New Roman"/>
          <w:bCs/>
          <w:iCs/>
          <w:lang w:val="fr-FR"/>
        </w:rPr>
        <w:t>avait au total 102.</w:t>
      </w:r>
      <w:r w:rsidR="00672179" w:rsidRPr="008369BD">
        <w:rPr>
          <w:rFonts w:ascii="Helvetica 55 Roman" w:hAnsi="Helvetica 55 Roman" w:cs="Times New Roman"/>
          <w:bCs/>
          <w:iCs/>
          <w:lang w:val="fr-FR"/>
        </w:rPr>
        <w:t xml:space="preserve">179 </w:t>
      </w:r>
      <w:r>
        <w:rPr>
          <w:rFonts w:ascii="Helvetica 55 Roman" w:hAnsi="Helvetica 55 Roman" w:cs="Times New Roman"/>
          <w:bCs/>
          <w:iCs/>
          <w:lang w:val="fr-FR"/>
        </w:rPr>
        <w:t>clients actifs en téléphonie mobile, une diminution de 3,4 % comparé aux</w:t>
      </w:r>
      <w:r w:rsidR="00672179" w:rsidRPr="008369BD">
        <w:rPr>
          <w:rFonts w:ascii="Helvetica 55 Roman" w:hAnsi="Helvetica 55 Roman" w:cs="Times New Roman"/>
          <w:bCs/>
          <w:iCs/>
          <w:lang w:val="fr-FR"/>
        </w:rPr>
        <w:t xml:space="preserve"> </w:t>
      </w:r>
      <w:r>
        <w:rPr>
          <w:rFonts w:ascii="Helvetica 55 Roman" w:hAnsi="Helvetica 55 Roman" w:cs="Times New Roman"/>
          <w:bCs/>
          <w:iCs/>
          <w:lang w:val="fr-FR"/>
        </w:rPr>
        <w:t>105.</w:t>
      </w:r>
      <w:r w:rsidR="00672179" w:rsidRPr="008369BD">
        <w:rPr>
          <w:rFonts w:ascii="Helvetica 55 Roman" w:hAnsi="Helvetica 55 Roman" w:cs="Times New Roman"/>
          <w:bCs/>
          <w:iCs/>
          <w:lang w:val="fr-FR"/>
        </w:rPr>
        <w:t xml:space="preserve">805 </w:t>
      </w:r>
      <w:r>
        <w:rPr>
          <w:rFonts w:ascii="Helvetica 55 Roman" w:hAnsi="Helvetica 55 Roman" w:cs="Times New Roman"/>
          <w:bCs/>
          <w:iCs/>
          <w:lang w:val="fr-FR"/>
        </w:rPr>
        <w:t xml:space="preserve">clients actifs une année auparavant. Cependant en comparaison au troisième trimestre plus faible, on peut noter une reprise du nombre de clients au quatrième trimestre. </w:t>
      </w:r>
      <w:r w:rsidR="00C93256">
        <w:rPr>
          <w:rFonts w:ascii="Helvetica 55 Roman" w:hAnsi="Helvetica 55 Roman" w:cs="Times New Roman"/>
          <w:bCs/>
          <w:iCs/>
          <w:lang w:val="fr-FR"/>
        </w:rPr>
        <w:t>Vers la fin d’année plus</w:t>
      </w:r>
      <w:r w:rsidR="004E77A9">
        <w:rPr>
          <w:rFonts w:ascii="Helvetica 55 Roman" w:hAnsi="Helvetica 55 Roman" w:cs="Times New Roman"/>
          <w:bCs/>
          <w:iCs/>
          <w:lang w:val="fr-FR"/>
        </w:rPr>
        <w:t xml:space="preserve"> particulièrement</w:t>
      </w:r>
      <w:r w:rsidR="00C93256">
        <w:rPr>
          <w:rFonts w:ascii="Helvetica 55 Roman" w:hAnsi="Helvetica 55 Roman" w:cs="Times New Roman"/>
          <w:bCs/>
          <w:iCs/>
          <w:lang w:val="fr-FR"/>
        </w:rPr>
        <w:t>,</w:t>
      </w:r>
      <w:r w:rsidR="004E77A9">
        <w:rPr>
          <w:rFonts w:ascii="Helvetica 55 Roman" w:hAnsi="Helvetica 55 Roman" w:cs="Times New Roman"/>
          <w:bCs/>
          <w:iCs/>
          <w:lang w:val="fr-FR"/>
        </w:rPr>
        <w:t xml:space="preserve"> </w:t>
      </w:r>
      <w:r w:rsidR="007A42FE">
        <w:rPr>
          <w:rFonts w:ascii="Helvetica 55 Roman" w:hAnsi="Helvetica 55 Roman" w:cs="Times New Roman"/>
          <w:bCs/>
          <w:iCs/>
          <w:lang w:val="fr-FR"/>
        </w:rPr>
        <w:t>les clients abonnés ré</w:t>
      </w:r>
      <w:r>
        <w:rPr>
          <w:rFonts w:ascii="Helvetica 55 Roman" w:hAnsi="Helvetica 55 Roman" w:cs="Times New Roman"/>
          <w:bCs/>
          <w:iCs/>
          <w:lang w:val="fr-FR"/>
        </w:rPr>
        <w:t xml:space="preserve">sidentiels </w:t>
      </w:r>
      <w:r w:rsidR="007A42FE">
        <w:rPr>
          <w:rFonts w:ascii="Helvetica 55 Roman" w:hAnsi="Helvetica 55 Roman" w:cs="Times New Roman"/>
          <w:bCs/>
          <w:iCs/>
          <w:lang w:val="fr-FR"/>
        </w:rPr>
        <w:t>ont favorablement accueilli les offres tarifaires amélioré</w:t>
      </w:r>
      <w:r w:rsidR="00C93256">
        <w:rPr>
          <w:rFonts w:ascii="Helvetica 55 Roman" w:hAnsi="Helvetica 55 Roman" w:cs="Times New Roman"/>
          <w:bCs/>
          <w:iCs/>
          <w:lang w:val="fr-FR"/>
        </w:rPr>
        <w:t>e</w:t>
      </w:r>
      <w:r w:rsidR="007A42FE">
        <w:rPr>
          <w:rFonts w:ascii="Helvetica 55 Roman" w:hAnsi="Helvetica 55 Roman" w:cs="Times New Roman"/>
          <w:bCs/>
          <w:iCs/>
          <w:lang w:val="fr-FR"/>
        </w:rPr>
        <w:t xml:space="preserve">s, qui comprennent aujourd’hui tous des appels internationaux, </w:t>
      </w:r>
      <w:r w:rsidR="00C93256">
        <w:rPr>
          <w:rFonts w:ascii="Helvetica 55 Roman" w:hAnsi="Helvetica 55 Roman" w:cs="Times New Roman"/>
          <w:bCs/>
          <w:iCs/>
          <w:lang w:val="fr-FR"/>
        </w:rPr>
        <w:t>du</w:t>
      </w:r>
      <w:r w:rsidR="007A42FE">
        <w:rPr>
          <w:rFonts w:ascii="Helvetica 55 Roman" w:hAnsi="Helvetica 55 Roman" w:cs="Times New Roman"/>
          <w:bCs/>
          <w:iCs/>
          <w:lang w:val="fr-FR"/>
        </w:rPr>
        <w:t xml:space="preserve"> </w:t>
      </w:r>
      <w:proofErr w:type="spellStart"/>
      <w:r w:rsidR="007A42FE">
        <w:rPr>
          <w:rFonts w:ascii="Helvetica 55 Roman" w:hAnsi="Helvetica 55 Roman" w:cs="Times New Roman"/>
          <w:bCs/>
          <w:iCs/>
          <w:lang w:val="fr-FR"/>
        </w:rPr>
        <w:t>roaming</w:t>
      </w:r>
      <w:proofErr w:type="spellEnd"/>
      <w:r w:rsidR="007A42FE">
        <w:rPr>
          <w:rFonts w:ascii="Helvetica 55 Roman" w:hAnsi="Helvetica 55 Roman" w:cs="Times New Roman"/>
          <w:bCs/>
          <w:iCs/>
          <w:lang w:val="fr-FR"/>
        </w:rPr>
        <w:t xml:space="preserve">, voire </w:t>
      </w:r>
      <w:r w:rsidR="00C93256">
        <w:rPr>
          <w:rFonts w:ascii="Helvetica 55 Roman" w:hAnsi="Helvetica 55 Roman" w:cs="Times New Roman"/>
          <w:bCs/>
          <w:iCs/>
          <w:lang w:val="fr-FR"/>
        </w:rPr>
        <w:t xml:space="preserve">de </w:t>
      </w:r>
      <w:r w:rsidR="007A42FE">
        <w:rPr>
          <w:rFonts w:ascii="Helvetica 55 Roman" w:hAnsi="Helvetica 55 Roman" w:cs="Times New Roman"/>
          <w:bCs/>
          <w:iCs/>
          <w:lang w:val="fr-FR"/>
        </w:rPr>
        <w:t>la 4G pour les offres haut de gamme. L’</w:t>
      </w:r>
      <w:r w:rsidR="00672179" w:rsidRPr="008369BD">
        <w:rPr>
          <w:rFonts w:ascii="Helvetica 55 Roman" w:hAnsi="Helvetica 55 Roman" w:cs="Times New Roman"/>
          <w:bCs/>
          <w:iCs/>
          <w:lang w:val="fr-FR"/>
        </w:rPr>
        <w:t xml:space="preserve">ARPU </w:t>
      </w:r>
      <w:r w:rsidR="007A42FE">
        <w:rPr>
          <w:rFonts w:ascii="Helvetica 55 Roman" w:hAnsi="Helvetica 55 Roman" w:cs="Times New Roman"/>
          <w:bCs/>
          <w:iCs/>
          <w:lang w:val="fr-FR"/>
        </w:rPr>
        <w:t>a été de 50,15 euro par mois pa</w:t>
      </w:r>
      <w:r w:rsidR="00672179" w:rsidRPr="008369BD">
        <w:rPr>
          <w:rFonts w:ascii="Helvetica 55 Roman" w:hAnsi="Helvetica 55 Roman" w:cs="Times New Roman"/>
          <w:bCs/>
          <w:iCs/>
          <w:lang w:val="fr-FR"/>
        </w:rPr>
        <w:t xml:space="preserve">r </w:t>
      </w:r>
      <w:r w:rsidR="007A42FE">
        <w:rPr>
          <w:rFonts w:ascii="Helvetica 55 Roman" w:hAnsi="Helvetica 55 Roman" w:cs="Times New Roman"/>
          <w:bCs/>
          <w:iCs/>
          <w:lang w:val="fr-FR"/>
        </w:rPr>
        <w:t xml:space="preserve">client </w:t>
      </w:r>
      <w:r w:rsidR="00672179" w:rsidRPr="008369BD">
        <w:rPr>
          <w:rFonts w:ascii="Helvetica 55 Roman" w:hAnsi="Helvetica 55 Roman" w:cs="Times New Roman"/>
          <w:bCs/>
          <w:iCs/>
          <w:lang w:val="fr-FR"/>
        </w:rPr>
        <w:t>acti</w:t>
      </w:r>
      <w:r w:rsidR="007A42FE">
        <w:rPr>
          <w:rFonts w:ascii="Helvetica 55 Roman" w:hAnsi="Helvetica 55 Roman" w:cs="Times New Roman"/>
          <w:bCs/>
          <w:iCs/>
          <w:lang w:val="fr-FR"/>
        </w:rPr>
        <w:t>f</w:t>
      </w:r>
      <w:r w:rsidR="00672179" w:rsidRPr="008369BD">
        <w:rPr>
          <w:rFonts w:ascii="Helvetica 55 Roman" w:hAnsi="Helvetica 55 Roman" w:cs="Times New Roman"/>
          <w:bCs/>
          <w:iCs/>
          <w:lang w:val="fr-FR"/>
        </w:rPr>
        <w:t xml:space="preserve"> </w:t>
      </w:r>
      <w:r w:rsidR="007A42FE">
        <w:rPr>
          <w:rFonts w:ascii="Helvetica 55 Roman" w:hAnsi="Helvetica 55 Roman" w:cs="Times New Roman"/>
          <w:bCs/>
          <w:iCs/>
          <w:lang w:val="fr-FR"/>
        </w:rPr>
        <w:t>à fin 2013, comparé</w:t>
      </w:r>
      <w:r w:rsidR="00672179" w:rsidRPr="008369BD">
        <w:rPr>
          <w:rFonts w:ascii="Helvetica 55 Roman" w:hAnsi="Helvetica 55 Roman" w:cs="Times New Roman"/>
          <w:bCs/>
          <w:iCs/>
          <w:lang w:val="fr-FR"/>
        </w:rPr>
        <w:t xml:space="preserve"> </w:t>
      </w:r>
      <w:r w:rsidR="007A42FE">
        <w:rPr>
          <w:rFonts w:ascii="Helvetica 55 Roman" w:hAnsi="Helvetica 55 Roman" w:cs="Times New Roman"/>
          <w:bCs/>
          <w:iCs/>
          <w:lang w:val="fr-FR"/>
        </w:rPr>
        <w:t>aux 51,</w:t>
      </w:r>
      <w:r w:rsidR="00672179" w:rsidRPr="008369BD">
        <w:rPr>
          <w:rFonts w:ascii="Helvetica 55 Roman" w:hAnsi="Helvetica 55 Roman" w:cs="Times New Roman"/>
          <w:bCs/>
          <w:iCs/>
          <w:lang w:val="fr-FR"/>
        </w:rPr>
        <w:t xml:space="preserve">88 euro </w:t>
      </w:r>
      <w:r w:rsidR="007A42FE">
        <w:rPr>
          <w:rFonts w:ascii="Helvetica 55 Roman" w:hAnsi="Helvetica 55 Roman" w:cs="Times New Roman"/>
          <w:bCs/>
          <w:iCs/>
          <w:lang w:val="fr-FR"/>
        </w:rPr>
        <w:t>pour la même période l’année d’avant. La régression de l’</w:t>
      </w:r>
      <w:r w:rsidR="00672179" w:rsidRPr="008369BD">
        <w:rPr>
          <w:rFonts w:ascii="Helvetica 55 Roman" w:hAnsi="Helvetica 55 Roman" w:cs="Times New Roman"/>
          <w:bCs/>
          <w:iCs/>
          <w:lang w:val="fr-FR"/>
        </w:rPr>
        <w:t xml:space="preserve">ARPU </w:t>
      </w:r>
      <w:r w:rsidR="007A42FE">
        <w:rPr>
          <w:rFonts w:ascii="Helvetica 55 Roman" w:hAnsi="Helvetica 55 Roman" w:cs="Times New Roman"/>
          <w:bCs/>
          <w:iCs/>
          <w:lang w:val="fr-FR"/>
        </w:rPr>
        <w:t xml:space="preserve">est essentiellement due aux revenues en </w:t>
      </w:r>
      <w:proofErr w:type="spellStart"/>
      <w:r w:rsidR="007A42FE">
        <w:rPr>
          <w:rFonts w:ascii="Helvetica 55 Roman" w:hAnsi="Helvetica 55 Roman" w:cs="Times New Roman"/>
          <w:bCs/>
          <w:iCs/>
          <w:lang w:val="fr-FR"/>
        </w:rPr>
        <w:t>roaming</w:t>
      </w:r>
      <w:proofErr w:type="spellEnd"/>
      <w:r w:rsidR="007A42FE">
        <w:rPr>
          <w:rFonts w:ascii="Helvetica 55 Roman" w:hAnsi="Helvetica 55 Roman" w:cs="Times New Roman"/>
          <w:bCs/>
          <w:iCs/>
          <w:lang w:val="fr-FR"/>
        </w:rPr>
        <w:t xml:space="preserve"> moindres, suite à l’introduction de l’offre </w:t>
      </w:r>
      <w:r w:rsidR="004E77A9">
        <w:rPr>
          <w:rFonts w:ascii="Helvetica 55 Roman" w:hAnsi="Helvetica 55 Roman" w:cs="Times New Roman"/>
          <w:bCs/>
          <w:iCs/>
          <w:lang w:val="fr-FR"/>
        </w:rPr>
        <w:t>« </w:t>
      </w:r>
      <w:r w:rsidR="00672179" w:rsidRPr="008369BD">
        <w:rPr>
          <w:rFonts w:ascii="Helvetica 55 Roman" w:hAnsi="Helvetica 55 Roman" w:cs="Times New Roman"/>
          <w:bCs/>
          <w:iCs/>
          <w:lang w:val="fr-FR"/>
        </w:rPr>
        <w:t>Hello Europe</w:t>
      </w:r>
      <w:r w:rsidR="004E77A9">
        <w:rPr>
          <w:rFonts w:ascii="Helvetica 55 Roman" w:hAnsi="Helvetica 55 Roman" w:cs="Times New Roman"/>
          <w:bCs/>
          <w:iCs/>
          <w:lang w:val="fr-FR"/>
        </w:rPr>
        <w:t> »</w:t>
      </w:r>
      <w:r w:rsidR="00672179" w:rsidRPr="008369BD">
        <w:rPr>
          <w:rFonts w:ascii="Helvetica 55 Roman" w:hAnsi="Helvetica 55 Roman" w:cs="Times New Roman"/>
          <w:bCs/>
          <w:iCs/>
          <w:lang w:val="fr-FR"/>
        </w:rPr>
        <w:t xml:space="preserve"> (</w:t>
      </w:r>
      <w:r w:rsidR="007A42FE">
        <w:rPr>
          <w:rFonts w:ascii="Helvetica 55 Roman" w:hAnsi="Helvetica 55 Roman" w:cs="Times New Roman"/>
          <w:bCs/>
          <w:iCs/>
          <w:lang w:val="fr-FR"/>
        </w:rPr>
        <w:t xml:space="preserve">incluant des appels </w:t>
      </w:r>
      <w:r w:rsidR="00C93256">
        <w:rPr>
          <w:rFonts w:ascii="Helvetica 55 Roman" w:hAnsi="Helvetica 55 Roman" w:cs="Times New Roman"/>
          <w:bCs/>
          <w:iCs/>
          <w:lang w:val="fr-FR"/>
        </w:rPr>
        <w:t xml:space="preserve">et des SMS </w:t>
      </w:r>
      <w:r w:rsidR="007A42FE">
        <w:rPr>
          <w:rFonts w:ascii="Helvetica 55 Roman" w:hAnsi="Helvetica 55 Roman" w:cs="Times New Roman"/>
          <w:bCs/>
          <w:iCs/>
          <w:lang w:val="fr-FR"/>
        </w:rPr>
        <w:t xml:space="preserve">en </w:t>
      </w:r>
      <w:proofErr w:type="spellStart"/>
      <w:r w:rsidR="007A42FE">
        <w:rPr>
          <w:rFonts w:ascii="Helvetica 55 Roman" w:hAnsi="Helvetica 55 Roman" w:cs="Times New Roman"/>
          <w:bCs/>
          <w:iCs/>
          <w:lang w:val="fr-FR"/>
        </w:rPr>
        <w:t>roaming</w:t>
      </w:r>
      <w:proofErr w:type="spellEnd"/>
      <w:r w:rsidR="007A42FE">
        <w:rPr>
          <w:rFonts w:ascii="Helvetica 55 Roman" w:hAnsi="Helvetica 55 Roman" w:cs="Times New Roman"/>
          <w:bCs/>
          <w:iCs/>
          <w:lang w:val="fr-FR"/>
        </w:rPr>
        <w:t xml:space="preserve"> </w:t>
      </w:r>
      <w:r w:rsidR="00C93256">
        <w:rPr>
          <w:rFonts w:ascii="Helvetica 55 Roman" w:hAnsi="Helvetica 55 Roman" w:cs="Times New Roman"/>
          <w:bCs/>
          <w:iCs/>
          <w:lang w:val="fr-FR"/>
        </w:rPr>
        <w:t xml:space="preserve"> </w:t>
      </w:r>
      <w:r w:rsidR="007A42FE">
        <w:rPr>
          <w:rFonts w:ascii="Helvetica 55 Roman" w:hAnsi="Helvetica 55 Roman" w:cs="Times New Roman"/>
          <w:bCs/>
          <w:iCs/>
          <w:lang w:val="fr-FR"/>
        </w:rPr>
        <w:t xml:space="preserve"> dans les forfaits) ainsi qu’à l’introduction d’offres proposant </w:t>
      </w:r>
      <w:r w:rsidR="00C93256">
        <w:rPr>
          <w:rFonts w:ascii="Helvetica 55 Roman" w:hAnsi="Helvetica 55 Roman" w:cs="Times New Roman"/>
          <w:bCs/>
          <w:iCs/>
          <w:lang w:val="fr-FR"/>
        </w:rPr>
        <w:t>simplement</w:t>
      </w:r>
      <w:r w:rsidR="007A42FE">
        <w:rPr>
          <w:rFonts w:ascii="Helvetica 55 Roman" w:hAnsi="Helvetica 55 Roman" w:cs="Times New Roman"/>
          <w:bCs/>
          <w:iCs/>
          <w:lang w:val="fr-FR"/>
        </w:rPr>
        <w:t xml:space="preserve"> </w:t>
      </w:r>
      <w:r w:rsidR="00C93256">
        <w:rPr>
          <w:rFonts w:ascii="Helvetica 55 Roman" w:hAnsi="Helvetica 55 Roman" w:cs="Times New Roman"/>
          <w:bCs/>
          <w:iCs/>
          <w:lang w:val="fr-FR"/>
        </w:rPr>
        <w:t>une</w:t>
      </w:r>
      <w:r w:rsidR="007A42FE">
        <w:rPr>
          <w:rFonts w:ascii="Helvetica 55 Roman" w:hAnsi="Helvetica 55 Roman" w:cs="Times New Roman"/>
          <w:bCs/>
          <w:iCs/>
          <w:lang w:val="fr-FR"/>
        </w:rPr>
        <w:t xml:space="preserve"> </w:t>
      </w:r>
      <w:r w:rsidR="00C93256">
        <w:rPr>
          <w:rFonts w:ascii="Helvetica 55 Roman" w:hAnsi="Helvetica 55 Roman" w:cs="Times New Roman"/>
          <w:bCs/>
          <w:iCs/>
          <w:lang w:val="fr-FR"/>
        </w:rPr>
        <w:t>version</w:t>
      </w:r>
      <w:r w:rsidR="007A42FE">
        <w:rPr>
          <w:rFonts w:ascii="Helvetica 55 Roman" w:hAnsi="Helvetica 55 Roman" w:cs="Times New Roman"/>
          <w:bCs/>
          <w:iCs/>
          <w:lang w:val="fr-FR"/>
        </w:rPr>
        <w:t xml:space="preserve"> </w:t>
      </w:r>
      <w:r w:rsidR="00672179" w:rsidRPr="008369BD">
        <w:rPr>
          <w:rFonts w:ascii="Helvetica 55 Roman" w:hAnsi="Helvetica 55 Roman" w:cs="Times New Roman"/>
          <w:bCs/>
          <w:iCs/>
          <w:lang w:val="fr-FR"/>
        </w:rPr>
        <w:t>SIM</w:t>
      </w:r>
      <w:r w:rsidR="00C93256">
        <w:rPr>
          <w:rFonts w:ascii="Helvetica 55 Roman" w:hAnsi="Helvetica 55 Roman" w:cs="Times New Roman"/>
          <w:bCs/>
          <w:iCs/>
          <w:lang w:val="fr-FR"/>
        </w:rPr>
        <w:t xml:space="preserve"> sans mobile,</w:t>
      </w:r>
      <w:r w:rsidR="00672179" w:rsidRPr="008369BD">
        <w:rPr>
          <w:rFonts w:ascii="Helvetica 55 Roman" w:hAnsi="Helvetica 55 Roman" w:cs="Times New Roman"/>
          <w:bCs/>
          <w:iCs/>
          <w:lang w:val="fr-FR"/>
        </w:rPr>
        <w:t xml:space="preserve"> </w:t>
      </w:r>
      <w:r w:rsidR="007A42FE">
        <w:rPr>
          <w:rFonts w:ascii="Helvetica 55 Roman" w:hAnsi="Helvetica 55 Roman" w:cs="Times New Roman"/>
          <w:bCs/>
          <w:iCs/>
          <w:lang w:val="fr-FR"/>
        </w:rPr>
        <w:t xml:space="preserve">sur le marché luxembourgeois. </w:t>
      </w:r>
      <w:r w:rsidR="00554973">
        <w:rPr>
          <w:rFonts w:ascii="Helvetica 55 Roman" w:hAnsi="Helvetica 55 Roman" w:cs="Times New Roman"/>
          <w:bCs/>
          <w:iCs/>
          <w:lang w:val="fr-FR"/>
        </w:rPr>
        <w:t>L</w:t>
      </w:r>
      <w:r w:rsidR="007A42FE">
        <w:rPr>
          <w:rFonts w:ascii="Helvetica 55 Roman" w:hAnsi="Helvetica 55 Roman" w:cs="Times New Roman"/>
          <w:bCs/>
          <w:iCs/>
          <w:lang w:val="fr-FR"/>
        </w:rPr>
        <w:t>e segment des entreprises qui a connu de forts bouleversements durant les premiers 6 mois de l’année</w:t>
      </w:r>
      <w:r w:rsidR="00554973">
        <w:rPr>
          <w:rFonts w:ascii="Helvetica 55 Roman" w:hAnsi="Helvetica 55 Roman" w:cs="Times New Roman"/>
          <w:bCs/>
          <w:iCs/>
          <w:lang w:val="fr-FR"/>
        </w:rPr>
        <w:t xml:space="preserve"> a su se reprendre dans la deuxième partie de l’année, suite notamment au</w:t>
      </w:r>
      <w:r w:rsidR="00C93256">
        <w:rPr>
          <w:rFonts w:ascii="Helvetica 55 Roman" w:hAnsi="Helvetica 55 Roman" w:cs="Times New Roman"/>
          <w:bCs/>
          <w:iCs/>
          <w:lang w:val="fr-FR"/>
        </w:rPr>
        <w:t>x</w:t>
      </w:r>
      <w:r w:rsidR="00554973">
        <w:rPr>
          <w:rFonts w:ascii="Helvetica 55 Roman" w:hAnsi="Helvetica 55 Roman" w:cs="Times New Roman"/>
          <w:bCs/>
          <w:iCs/>
          <w:lang w:val="fr-FR"/>
        </w:rPr>
        <w:t xml:space="preserve"> renouvellement</w:t>
      </w:r>
      <w:r w:rsidR="00C93256">
        <w:rPr>
          <w:rFonts w:ascii="Helvetica 55 Roman" w:hAnsi="Helvetica 55 Roman" w:cs="Times New Roman"/>
          <w:bCs/>
          <w:iCs/>
          <w:lang w:val="fr-FR"/>
        </w:rPr>
        <w:t>s</w:t>
      </w:r>
      <w:r w:rsidR="00554973">
        <w:rPr>
          <w:rFonts w:ascii="Helvetica 55 Roman" w:hAnsi="Helvetica 55 Roman" w:cs="Times New Roman"/>
          <w:bCs/>
          <w:iCs/>
          <w:lang w:val="fr-FR"/>
        </w:rPr>
        <w:t xml:space="preserve"> de gros contrats cadres, </w:t>
      </w:r>
      <w:r w:rsidR="00C93256">
        <w:rPr>
          <w:rFonts w:ascii="Helvetica 55 Roman" w:hAnsi="Helvetica 55 Roman" w:cs="Times New Roman"/>
          <w:bCs/>
          <w:iCs/>
          <w:lang w:val="fr-FR"/>
        </w:rPr>
        <w:t>mais aussi grâce à</w:t>
      </w:r>
      <w:r w:rsidR="00554973">
        <w:rPr>
          <w:rFonts w:ascii="Helvetica 55 Roman" w:hAnsi="Helvetica 55 Roman" w:cs="Times New Roman"/>
          <w:bCs/>
          <w:iCs/>
          <w:lang w:val="fr-FR"/>
        </w:rPr>
        <w:t xml:space="preserve"> l’introduction de l’offre </w:t>
      </w:r>
      <w:r w:rsidR="002E66CC">
        <w:rPr>
          <w:rFonts w:ascii="Helvetica 55 Roman" w:hAnsi="Helvetica 55 Roman" w:cs="Times New Roman"/>
          <w:bCs/>
          <w:iCs/>
          <w:lang w:val="fr-FR"/>
        </w:rPr>
        <w:t>« </w:t>
      </w:r>
      <w:proofErr w:type="spellStart"/>
      <w:r w:rsidR="00672179" w:rsidRPr="008369BD">
        <w:rPr>
          <w:rFonts w:ascii="Helvetica 55 Roman" w:hAnsi="Helvetica 55 Roman" w:cs="Times New Roman"/>
          <w:bCs/>
          <w:iCs/>
          <w:lang w:val="fr-FR"/>
        </w:rPr>
        <w:t>smartpro</w:t>
      </w:r>
      <w:proofErr w:type="spellEnd"/>
      <w:r w:rsidR="002E66CC">
        <w:rPr>
          <w:rFonts w:ascii="Helvetica 55 Roman" w:hAnsi="Helvetica 55 Roman" w:cs="Times New Roman"/>
          <w:bCs/>
          <w:iCs/>
          <w:lang w:val="fr-FR"/>
        </w:rPr>
        <w:t> »</w:t>
      </w:r>
      <w:r w:rsidR="00672179" w:rsidRPr="008369BD">
        <w:rPr>
          <w:rFonts w:ascii="Helvetica 55 Roman" w:hAnsi="Helvetica 55 Roman" w:cs="Times New Roman"/>
          <w:bCs/>
          <w:iCs/>
          <w:lang w:val="fr-FR"/>
        </w:rPr>
        <w:t xml:space="preserve"> </w:t>
      </w:r>
      <w:r w:rsidR="00554973">
        <w:rPr>
          <w:rFonts w:ascii="Helvetica 55 Roman" w:hAnsi="Helvetica 55 Roman" w:cs="Times New Roman"/>
          <w:bCs/>
          <w:iCs/>
          <w:lang w:val="fr-FR"/>
        </w:rPr>
        <w:t>dans les</w:t>
      </w:r>
      <w:r w:rsidR="00672179" w:rsidRPr="008369BD">
        <w:rPr>
          <w:rFonts w:ascii="Helvetica 55 Roman" w:hAnsi="Helvetica 55 Roman" w:cs="Times New Roman"/>
          <w:bCs/>
          <w:iCs/>
          <w:lang w:val="fr-FR"/>
        </w:rPr>
        <w:t xml:space="preserve"> 17 </w:t>
      </w:r>
      <w:r w:rsidR="00554973">
        <w:rPr>
          <w:rFonts w:ascii="Helvetica 55 Roman" w:hAnsi="Helvetica 55 Roman" w:cs="Times New Roman"/>
          <w:bCs/>
          <w:iCs/>
          <w:lang w:val="fr-FR"/>
        </w:rPr>
        <w:t>points de vente Orange</w:t>
      </w:r>
      <w:r w:rsidR="00672179" w:rsidRPr="008369BD">
        <w:rPr>
          <w:rFonts w:ascii="Helvetica 55 Roman" w:hAnsi="Helvetica 55 Roman" w:cs="Times New Roman"/>
          <w:bCs/>
          <w:iCs/>
          <w:lang w:val="fr-FR"/>
        </w:rPr>
        <w:t>.</w:t>
      </w:r>
    </w:p>
    <w:p w14:paraId="6E34EAA1" w14:textId="77777777" w:rsidR="00672179" w:rsidRPr="00DC7C41" w:rsidRDefault="00672179" w:rsidP="00672179">
      <w:pPr>
        <w:pStyle w:val="BodyTextIndent"/>
        <w:jc w:val="both"/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</w:pPr>
    </w:p>
    <w:p w14:paraId="7F1A0E75" w14:textId="074D4D5D" w:rsidR="00672179" w:rsidRPr="00DC7C41" w:rsidRDefault="00DC5594" w:rsidP="00672179">
      <w:pPr>
        <w:pStyle w:val="BodyTextIndent"/>
        <w:jc w:val="both"/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</w:pP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Depuis Octobre 2013, 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Orange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Communications Luxembourg offre la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4G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à ses clients dans le cadre d</w:t>
      </w:r>
      <w:r w:rsidR="00AD019C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e ses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offres tarifaires. </w:t>
      </w:r>
      <w:r w:rsidR="00C93256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La 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4G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est notamment inclus</w:t>
      </w:r>
      <w:r w:rsidR="00C93256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e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dans les offres « 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Hello Europe Flat Surf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 »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et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« 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Hello Europe All Inclusive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 »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.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Les clients peuvent également activer la 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4G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avec d’autres offres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.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La 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4G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est également incluse dans les offres «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Internet </w:t>
      </w:r>
      <w:proofErr w:type="spellStart"/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Everywhere</w:t>
      </w:r>
      <w:proofErr w:type="spellEnd"/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 »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qui permettent aux clients d’utiliser le réseau 4G d’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Orange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sur leurs portables et tablettes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.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L’entreprise a également accéléré son déploiement de la 4G visant une couverture de 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90 %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de la 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population </w:t>
      </w:r>
      <w:r w:rsidR="004E77A9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pour le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début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d</w:t>
      </w:r>
      <w:r w:rsidR="004E77A9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e l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’année 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2015.</w:t>
      </w:r>
    </w:p>
    <w:p w14:paraId="223C46D3" w14:textId="77777777" w:rsidR="00991BB1" w:rsidRPr="00DC7C41" w:rsidRDefault="00991BB1" w:rsidP="00672179">
      <w:pPr>
        <w:pStyle w:val="BodyTextIndent"/>
        <w:jc w:val="both"/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</w:pPr>
    </w:p>
    <w:p w14:paraId="7D75DD46" w14:textId="2112C2D2" w:rsidR="00672179" w:rsidRPr="00DC7C41" w:rsidRDefault="00DC5594" w:rsidP="00672179">
      <w:pPr>
        <w:pStyle w:val="BodyTextIndent"/>
        <w:jc w:val="both"/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</w:pP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En novembre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2013, Orange Communications Luxembourg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a commencé à inclure des offres issues </w:t>
      </w:r>
      <w:r w:rsidR="00525DC3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de l’accord signé avec l’opérateur de réseaux câblés </w:t>
      </w:r>
      <w:proofErr w:type="spellStart"/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Eltrona</w:t>
      </w:r>
      <w:proofErr w:type="spellEnd"/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Telecom, </w:t>
      </w:r>
      <w:r w:rsidR="00525DC3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proposant notamment à ses clients des offres convergentes qui combinent la téléphonie fixe et mobile, l’accès à internet à </w:t>
      </w:r>
      <w:r w:rsidR="00AD019C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très </w:t>
      </w:r>
      <w:r w:rsidR="00525DC3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haut débit en mobile et via le câble, </w:t>
      </w:r>
      <w:r w:rsidR="00AD019C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une</w:t>
      </w:r>
      <w:r w:rsidR="00525DC3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toute nouvelle offre de télévision. Les premiers résultat</w:t>
      </w:r>
      <w:r w:rsidR="00AD019C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s sont très encourageants, puis</w:t>
      </w:r>
      <w:r w:rsidR="00525DC3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que près de 30% des clients qui optent pour ces offre</w:t>
      </w:r>
      <w:r w:rsidR="004E77A9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s</w:t>
      </w:r>
      <w:r w:rsidR="00525DC3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</w:t>
      </w:r>
      <w:r w:rsidR="004E77A9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multiples</w:t>
      </w:r>
      <w:r w:rsidR="00525DC3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sont des nouveaux clients, qui n’avaient pas de contrat mobile avec 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Orange Communications </w:t>
      </w:r>
      <w:r w:rsidR="00525DC3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Luxembourg auparavant</w:t>
      </w:r>
      <w:r w:rsidR="00672179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.</w:t>
      </w:r>
    </w:p>
    <w:p w14:paraId="2DB6B15B" w14:textId="77777777" w:rsidR="00F16AB2" w:rsidRPr="00DC7C41" w:rsidRDefault="00F16AB2" w:rsidP="00672179">
      <w:pPr>
        <w:pStyle w:val="BodyTextIndent"/>
        <w:jc w:val="both"/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</w:pPr>
    </w:p>
    <w:p w14:paraId="54BEAB53" w14:textId="07471972" w:rsidR="00F16AB2" w:rsidRPr="00DC7C41" w:rsidRDefault="00525DC3" w:rsidP="00672179">
      <w:pPr>
        <w:pStyle w:val="BodyTextIndent"/>
        <w:jc w:val="both"/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</w:pP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Au niveau d</w:t>
      </w:r>
      <w:r w:rsidR="00AD019C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es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réseau</w:t>
      </w:r>
      <w:r w:rsidR="00AD019C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x</w:t>
      </w:r>
      <w:r w:rsidR="0095227B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, </w:t>
      </w:r>
      <w:r w:rsidR="00F16AB2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1</w:t>
      </w:r>
      <w:r w:rsidR="000D3FA2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8</w:t>
      </w:r>
      <w:r w:rsidR="00F16AB2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nouveaux </w:t>
      </w:r>
      <w:r w:rsidR="00F16AB2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sites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avec pas moins de 46 antenne</w:t>
      </w:r>
      <w:r w:rsidR="00F16AB2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s </w:t>
      </w:r>
      <w:r w:rsidR="00AD019C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ont été déployé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s à travers le pays en </w:t>
      </w:r>
      <w:r w:rsidR="00F16AB2" w:rsidRPr="00DC7C41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2013, </w:t>
      </w:r>
      <w:r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afin d’améliorer la couverture des réseaux et de garantir </w:t>
      </w:r>
      <w:r w:rsidR="00EE243D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une connectivité avec les technologies les plus récentes, des économies d’énergie et </w:t>
      </w:r>
      <w:r w:rsidR="00AD019C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>pour</w:t>
      </w:r>
      <w:r w:rsidR="004E77A9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répondre à</w:t>
      </w:r>
      <w:r w:rsidR="00EE243D">
        <w:rPr>
          <w:rFonts w:ascii="Helvetica 55 Roman" w:hAnsi="Helvetica 55 Roman" w:cs="Times New Roman"/>
          <w:bCs/>
          <w:i w:val="0"/>
          <w:iCs w:val="0"/>
          <w:sz w:val="22"/>
          <w:szCs w:val="22"/>
          <w:lang w:val="fr-FR" w:eastAsia="en-US"/>
        </w:rPr>
        <w:t xml:space="preserve"> l’augmentation substantielle de transmissions data dans le pays. Ce programme d’extension du réseau se poursuivra en 2014.</w:t>
      </w:r>
    </w:p>
    <w:p w14:paraId="31BF82FE" w14:textId="77777777" w:rsidR="00672179" w:rsidRPr="00DC7C41" w:rsidRDefault="00672179" w:rsidP="00DF1464">
      <w:pPr>
        <w:jc w:val="both"/>
        <w:rPr>
          <w:rFonts w:ascii="HelveticaNeueLT Std" w:eastAsia="Times New Roman" w:hAnsi="HelveticaNeueLT Std"/>
          <w:lang w:val="fr-FR"/>
        </w:rPr>
      </w:pPr>
    </w:p>
    <w:p w14:paraId="1B111D12" w14:textId="385EADA8" w:rsidR="00AA359B" w:rsidRPr="00DC7C41" w:rsidRDefault="00EE243D" w:rsidP="00DF1464">
      <w:pPr>
        <w:jc w:val="both"/>
        <w:rPr>
          <w:rFonts w:ascii="Helvetica 55 Roman" w:eastAsia="Times New Roman" w:hAnsi="Helvetica 55 Roman"/>
          <w:i/>
          <w:lang w:val="fr-FR"/>
        </w:rPr>
      </w:pPr>
      <w:r>
        <w:rPr>
          <w:rFonts w:ascii="HelveticaNeueLT Std" w:eastAsia="Times New Roman" w:hAnsi="HelveticaNeueLT Std"/>
          <w:i/>
          <w:lang w:val="fr-FR"/>
        </w:rPr>
        <w:t xml:space="preserve">«  Offrir à nos clients, en fonction de leurs besoins, les dernières innovations en termes de réseau, de services et de tarifs, particulièrement en </w:t>
      </w:r>
      <w:proofErr w:type="spellStart"/>
      <w:r>
        <w:rPr>
          <w:rFonts w:ascii="HelveticaNeueLT Std" w:eastAsia="Times New Roman" w:hAnsi="HelveticaNeueLT Std"/>
          <w:i/>
          <w:lang w:val="fr-FR"/>
        </w:rPr>
        <w:t>roaming</w:t>
      </w:r>
      <w:proofErr w:type="spellEnd"/>
      <w:r>
        <w:rPr>
          <w:rFonts w:ascii="HelveticaNeueLT Std" w:eastAsia="Times New Roman" w:hAnsi="HelveticaNeueLT Std"/>
          <w:i/>
          <w:lang w:val="fr-FR"/>
        </w:rPr>
        <w:t>, f</w:t>
      </w:r>
      <w:r w:rsidR="00C93256">
        <w:rPr>
          <w:rFonts w:ascii="HelveticaNeueLT Std" w:eastAsia="Times New Roman" w:hAnsi="HelveticaNeueLT Std"/>
          <w:i/>
          <w:lang w:val="fr-FR"/>
        </w:rPr>
        <w:t>ai</w:t>
      </w:r>
      <w:r>
        <w:rPr>
          <w:rFonts w:ascii="HelveticaNeueLT Std" w:eastAsia="Times New Roman" w:hAnsi="HelveticaNeueLT Std"/>
          <w:i/>
          <w:lang w:val="fr-FR"/>
        </w:rPr>
        <w:t xml:space="preserve">t partie de notre travail de consolidation en vue de garantir notre croissance au Luxembourg. Dans un </w:t>
      </w:r>
      <w:r w:rsidR="008E678D">
        <w:rPr>
          <w:rFonts w:ascii="HelveticaNeueLT Std" w:eastAsia="Times New Roman" w:hAnsi="HelveticaNeueLT Std"/>
          <w:i/>
          <w:lang w:val="fr-FR"/>
        </w:rPr>
        <w:t>marché saturé il est essentiel d’offrir les der</w:t>
      </w:r>
      <w:bookmarkStart w:id="0" w:name="_GoBack"/>
      <w:bookmarkEnd w:id="0"/>
      <w:r w:rsidR="008E678D">
        <w:rPr>
          <w:rFonts w:ascii="HelveticaNeueLT Std" w:eastAsia="Times New Roman" w:hAnsi="HelveticaNeueLT Std"/>
          <w:i/>
          <w:lang w:val="fr-FR"/>
        </w:rPr>
        <w:t>nières innovations en matière de services et de technologies aux clients, qui s’attendent à la fois à une haute valeur ajoutée pour leur argent et un haut niveau de services. Notre ambition de marque est d’être un opérateur européen avec de</w:t>
      </w:r>
      <w:r w:rsidR="00C93256">
        <w:rPr>
          <w:rFonts w:ascii="HelveticaNeueLT Std" w:eastAsia="Times New Roman" w:hAnsi="HelveticaNeueLT Std"/>
          <w:i/>
          <w:lang w:val="fr-FR"/>
        </w:rPr>
        <w:t xml:space="preserve"> </w:t>
      </w:r>
      <w:r w:rsidR="008E678D">
        <w:rPr>
          <w:rFonts w:ascii="HelveticaNeueLT Std" w:eastAsia="Times New Roman" w:hAnsi="HelveticaNeueLT Std"/>
          <w:i/>
          <w:lang w:val="fr-FR"/>
        </w:rPr>
        <w:t xml:space="preserve"> fortes racines au Luxembourg, c’est pourquoi nous considérons toute possibilité pertinente de partenariat avec des entreprises luxembourgeoises</w:t>
      </w:r>
      <w:r w:rsidR="004E77A9">
        <w:rPr>
          <w:rFonts w:ascii="HelveticaNeueLT Std" w:eastAsia="Times New Roman" w:hAnsi="HelveticaNeueLT Std"/>
          <w:i/>
          <w:lang w:val="fr-FR"/>
        </w:rPr>
        <w:t>,</w:t>
      </w:r>
      <w:r w:rsidR="008E678D">
        <w:rPr>
          <w:rFonts w:ascii="HelveticaNeueLT Std" w:eastAsia="Times New Roman" w:hAnsi="HelveticaNeueLT Std"/>
          <w:i/>
          <w:lang w:val="fr-FR"/>
        </w:rPr>
        <w:t xml:space="preserve"> » </w:t>
      </w:r>
      <w:r w:rsidR="008E678D" w:rsidRPr="008E678D">
        <w:rPr>
          <w:rFonts w:ascii="HelveticaNeueLT Std" w:eastAsia="Times New Roman" w:hAnsi="HelveticaNeueLT Std"/>
          <w:lang w:val="fr-FR"/>
        </w:rPr>
        <w:t>a déclaré</w:t>
      </w:r>
      <w:r w:rsidR="00B01DDF" w:rsidRPr="00DC7C41">
        <w:rPr>
          <w:rFonts w:ascii="Helvetica 55 Roman" w:eastAsia="Times New Roman" w:hAnsi="Helvetica 55 Roman"/>
          <w:i/>
          <w:lang w:val="fr-FR"/>
        </w:rPr>
        <w:t xml:space="preserve"> </w:t>
      </w:r>
      <w:r w:rsidR="00B01DDF" w:rsidRPr="00DC7C41">
        <w:rPr>
          <w:rFonts w:ascii="Helvetica 55 Roman" w:eastAsia="Times New Roman" w:hAnsi="Helvetica 55 Roman"/>
          <w:lang w:val="fr-FR"/>
        </w:rPr>
        <w:t xml:space="preserve">Werner De Laet, CEO </w:t>
      </w:r>
      <w:r w:rsidR="008E678D">
        <w:rPr>
          <w:rFonts w:ascii="Helvetica 55 Roman" w:eastAsia="Times New Roman" w:hAnsi="Helvetica 55 Roman"/>
          <w:lang w:val="fr-FR"/>
        </w:rPr>
        <w:t>d’</w:t>
      </w:r>
      <w:r w:rsidR="00FF0471" w:rsidRPr="00DC7C41">
        <w:rPr>
          <w:rFonts w:ascii="Helvetica 55 Roman" w:eastAsia="Times New Roman" w:hAnsi="Helvetica 55 Roman"/>
          <w:lang w:val="fr-FR"/>
        </w:rPr>
        <w:t xml:space="preserve">Orange Luxembourg. </w:t>
      </w:r>
    </w:p>
    <w:p w14:paraId="64ABF61C" w14:textId="77777777" w:rsidR="008E678D" w:rsidRPr="00490A8D" w:rsidRDefault="008E678D" w:rsidP="008E678D">
      <w:pPr>
        <w:jc w:val="both"/>
        <w:rPr>
          <w:rFonts w:ascii="Arial" w:hAnsi="Arial" w:cs="Arial"/>
          <w:bCs/>
          <w:iCs/>
          <w:color w:val="000000"/>
          <w:sz w:val="20"/>
          <w:szCs w:val="20"/>
          <w:u w:val="single"/>
          <w:lang w:val="fr-FR"/>
        </w:rPr>
      </w:pPr>
      <w:r w:rsidRPr="00490A8D">
        <w:rPr>
          <w:rFonts w:ascii="Arial" w:hAnsi="Arial" w:cs="Arial"/>
          <w:bCs/>
          <w:iCs/>
          <w:color w:val="000000"/>
          <w:sz w:val="20"/>
          <w:szCs w:val="20"/>
          <w:u w:val="single"/>
          <w:lang w:val="fr-FR"/>
        </w:rPr>
        <w:t xml:space="preserve">A propos d’Orange au Luxembourg </w:t>
      </w:r>
    </w:p>
    <w:p w14:paraId="340D8A9B" w14:textId="77777777" w:rsidR="008E678D" w:rsidRPr="00490A8D" w:rsidRDefault="008E678D" w:rsidP="008E678D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490A8D">
        <w:rPr>
          <w:rFonts w:ascii="Arial" w:hAnsi="Arial" w:cs="Arial"/>
          <w:color w:val="000000"/>
          <w:sz w:val="20"/>
          <w:szCs w:val="20"/>
          <w:lang w:val="fr-FR"/>
        </w:rPr>
        <w:t xml:space="preserve">Orange Communications Luxembourg </w:t>
      </w:r>
      <w:proofErr w:type="spellStart"/>
      <w:r w:rsidRPr="00490A8D">
        <w:rPr>
          <w:rFonts w:ascii="Arial" w:hAnsi="Arial" w:cs="Arial"/>
          <w:color w:val="000000"/>
          <w:sz w:val="20"/>
          <w:szCs w:val="20"/>
          <w:lang w:val="fr-FR"/>
        </w:rPr>
        <w:t>s.a.</w:t>
      </w:r>
      <w:proofErr w:type="spellEnd"/>
      <w:r w:rsidRPr="00490A8D">
        <w:rPr>
          <w:rFonts w:ascii="Arial" w:hAnsi="Arial" w:cs="Arial"/>
          <w:color w:val="000000"/>
          <w:sz w:val="20"/>
          <w:szCs w:val="20"/>
          <w:lang w:val="fr-FR"/>
        </w:rPr>
        <w:t xml:space="preserve"> est un opérateur de télécommunication offrant des services de téléphonie mobile, fixe et ADSL et est opérationnel sur le marché du Luxembourg depuis mai 2004. Orange Communications Luxembourg </w:t>
      </w:r>
      <w:proofErr w:type="spellStart"/>
      <w:r w:rsidRPr="00490A8D">
        <w:rPr>
          <w:rFonts w:ascii="Arial" w:hAnsi="Arial" w:cs="Arial"/>
          <w:color w:val="000000"/>
          <w:sz w:val="20"/>
          <w:szCs w:val="20"/>
          <w:lang w:val="fr-FR"/>
        </w:rPr>
        <w:t>s.a.</w:t>
      </w:r>
      <w:proofErr w:type="spellEnd"/>
      <w:r w:rsidRPr="00490A8D">
        <w:rPr>
          <w:rFonts w:ascii="Arial" w:hAnsi="Arial" w:cs="Arial"/>
          <w:color w:val="000000"/>
          <w:sz w:val="20"/>
          <w:szCs w:val="20"/>
          <w:lang w:val="fr-FR"/>
        </w:rPr>
        <w:t xml:space="preserve"> offre des services aux clients résidentiels et aux clients professionnels.  Orange Luxembourg est une filiale à 100% de Mobistar.</w:t>
      </w:r>
    </w:p>
    <w:p w14:paraId="2B9B252F" w14:textId="77777777" w:rsidR="00B01DDF" w:rsidRPr="00DC7C41" w:rsidRDefault="00B01DDF" w:rsidP="00B01DDF">
      <w:pPr>
        <w:widowControl w:val="0"/>
        <w:autoSpaceDE w:val="0"/>
        <w:autoSpaceDN w:val="0"/>
        <w:adjustRightInd w:val="0"/>
        <w:spacing w:after="240"/>
        <w:rPr>
          <w:rFonts w:ascii="Helvetica 55 Roman" w:hAnsi="Helvetica 55 Roman" w:cs="Times"/>
          <w:sz w:val="20"/>
          <w:szCs w:val="20"/>
          <w:lang w:val="fr-FR"/>
        </w:rPr>
      </w:pPr>
      <w:r w:rsidRPr="00DC7C41">
        <w:rPr>
          <w:rFonts w:ascii="Helvetica 55 Roman" w:hAnsi="Helvetica 55 Roman" w:cs="Helvetica Neue"/>
          <w:sz w:val="20"/>
          <w:szCs w:val="20"/>
          <w:lang w:val="fr-FR"/>
        </w:rPr>
        <w:t>Contact: thierry.iafrate@orangeluxembourg.lu</w:t>
      </w:r>
    </w:p>
    <w:p w14:paraId="79EE408E" w14:textId="77777777" w:rsidR="00DF1464" w:rsidRPr="00DC7C41" w:rsidRDefault="00DF1464" w:rsidP="00DF1464">
      <w:pPr>
        <w:shd w:val="clear" w:color="auto" w:fill="FFFFFF"/>
        <w:spacing w:before="100" w:beforeAutospacing="1" w:after="180" w:line="336" w:lineRule="atLeast"/>
        <w:outlineLvl w:val="2"/>
        <w:rPr>
          <w:rFonts w:ascii="Helvetica 55 Roman" w:hAnsi="Helvetica 55 Roman"/>
          <w:lang w:val="fr-FR"/>
        </w:rPr>
      </w:pPr>
    </w:p>
    <w:p w14:paraId="442F888A" w14:textId="77777777" w:rsidR="007228C5" w:rsidRPr="00DC7C41" w:rsidRDefault="007228C5">
      <w:pPr>
        <w:rPr>
          <w:rFonts w:ascii="Mobistar Regular" w:hAnsi="Mobistar Regular"/>
          <w:lang w:val="fr-FR"/>
        </w:rPr>
      </w:pPr>
    </w:p>
    <w:sectPr w:rsidR="007228C5" w:rsidRPr="00DC7C41" w:rsidSect="00270690">
      <w:pgSz w:w="11907" w:h="16839" w:code="9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16737" w14:textId="77777777" w:rsidR="00EA6BC8" w:rsidRDefault="00EA6BC8" w:rsidP="00DF1464">
      <w:pPr>
        <w:spacing w:after="0" w:line="240" w:lineRule="auto"/>
      </w:pPr>
      <w:r>
        <w:separator/>
      </w:r>
    </w:p>
  </w:endnote>
  <w:endnote w:type="continuationSeparator" w:id="0">
    <w:p w14:paraId="0062716B" w14:textId="77777777" w:rsidR="00EA6BC8" w:rsidRDefault="00EA6BC8" w:rsidP="00DF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Neue">
    <w:altName w:val="Bienvenue TT"/>
    <w:charset w:val="00"/>
    <w:family w:val="auto"/>
    <w:pitch w:val="variable"/>
    <w:sig w:usb0="80000067" w:usb1="00000000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obistar Regular">
    <w:panose1 w:val="02000503040000060004"/>
    <w:charset w:val="00"/>
    <w:family w:val="modern"/>
    <w:notTrueType/>
    <w:pitch w:val="variable"/>
    <w:sig w:usb0="8000002F" w:usb1="5000204A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616F0" w14:textId="77777777" w:rsidR="00EA6BC8" w:rsidRDefault="00EA6BC8" w:rsidP="00DF1464">
      <w:pPr>
        <w:spacing w:after="0" w:line="240" w:lineRule="auto"/>
      </w:pPr>
      <w:r>
        <w:separator/>
      </w:r>
    </w:p>
  </w:footnote>
  <w:footnote w:type="continuationSeparator" w:id="0">
    <w:p w14:paraId="0CF7A038" w14:textId="77777777" w:rsidR="00EA6BC8" w:rsidRDefault="00EA6BC8" w:rsidP="00DF1464">
      <w:pPr>
        <w:spacing w:after="0" w:line="240" w:lineRule="auto"/>
      </w:pPr>
      <w:r>
        <w:continuationSeparator/>
      </w:r>
    </w:p>
  </w:footnote>
  <w:footnote w:id="1">
    <w:p w14:paraId="02588369" w14:textId="277075FC" w:rsidR="003606D8" w:rsidRPr="00B44E8F" w:rsidRDefault="003606D8" w:rsidP="00672179">
      <w:pPr>
        <w:pStyle w:val="FootnoteText"/>
        <w:rPr>
          <w:lang w:val="fr-FR"/>
        </w:rPr>
      </w:pPr>
      <w:r>
        <w:rPr>
          <w:rStyle w:val="FootnoteReference"/>
          <w:lang w:val="fr-BE"/>
        </w:rPr>
        <w:t>[1]</w:t>
      </w:r>
      <w:r>
        <w:rPr>
          <w:lang w:val="fr-BE"/>
        </w:rPr>
        <w:t xml:space="preserve"> </w:t>
      </w:r>
      <w:r>
        <w:rPr>
          <w:rFonts w:ascii="Mobistar Regular" w:hAnsi="Mobistar Regular"/>
          <w:sz w:val="16"/>
          <w:szCs w:val="16"/>
          <w:lang w:val="fr-FR"/>
        </w:rPr>
        <w:t>Le nombre de clients actifs n’inclut plus les cartes ‘machine-to-machine’.</w:t>
      </w:r>
    </w:p>
  </w:footnote>
  <w:footnote w:id="2">
    <w:p w14:paraId="3599628D" w14:textId="77777777" w:rsidR="003606D8" w:rsidRDefault="003606D8" w:rsidP="008E678D">
      <w:pPr>
        <w:pStyle w:val="BalloonText"/>
        <w:jc w:val="both"/>
        <w:rPr>
          <w:rFonts w:ascii="Mobistar Regular" w:hAnsi="Mobistar Regular"/>
          <w:lang w:val="fr-FR"/>
        </w:rPr>
      </w:pPr>
      <w:r w:rsidRPr="001F3C31">
        <w:rPr>
          <w:rStyle w:val="FootnoteReference"/>
          <w:rFonts w:ascii="Mobistar Regular" w:hAnsi="Mobistar Regular"/>
          <w:lang w:val="fr-CH"/>
        </w:rPr>
        <w:t>[2]</w:t>
      </w:r>
      <w:r w:rsidRPr="001F3C31">
        <w:rPr>
          <w:rFonts w:ascii="Mobistar Regular" w:hAnsi="Mobistar Regular"/>
          <w:lang w:val="fr-CH"/>
        </w:rPr>
        <w:t xml:space="preserve"> </w:t>
      </w:r>
      <w:proofErr w:type="spellStart"/>
      <w:r>
        <w:rPr>
          <w:rFonts w:ascii="Mobistar Regular" w:hAnsi="Mobistar Regular"/>
          <w:lang w:val="fr-FR"/>
        </w:rPr>
        <w:t>Average</w:t>
      </w:r>
      <w:proofErr w:type="spellEnd"/>
      <w:r>
        <w:rPr>
          <w:rFonts w:ascii="Mobistar Regular" w:hAnsi="Mobistar Regular"/>
          <w:lang w:val="fr-FR"/>
        </w:rPr>
        <w:t xml:space="preserve"> Revenue per User, revenu mensuel moyen par client (moyenne lissée des 12 mois précédents), hors MVNO et cartes M2M.</w:t>
      </w:r>
    </w:p>
    <w:p w14:paraId="189F0528" w14:textId="77777777" w:rsidR="003606D8" w:rsidRPr="00B44E8F" w:rsidRDefault="003606D8" w:rsidP="00672179">
      <w:pPr>
        <w:pStyle w:val="BalloonText"/>
        <w:jc w:val="both"/>
        <w:rPr>
          <w:lang w:val="fr-F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64"/>
    <w:rsid w:val="000D3FA2"/>
    <w:rsid w:val="00166A50"/>
    <w:rsid w:val="001C05B9"/>
    <w:rsid w:val="00215EB4"/>
    <w:rsid w:val="00257280"/>
    <w:rsid w:val="00270690"/>
    <w:rsid w:val="00283CBE"/>
    <w:rsid w:val="0029333B"/>
    <w:rsid w:val="002E66CC"/>
    <w:rsid w:val="002F39CE"/>
    <w:rsid w:val="003606D8"/>
    <w:rsid w:val="00382DF6"/>
    <w:rsid w:val="003A031D"/>
    <w:rsid w:val="003D7CB0"/>
    <w:rsid w:val="00473F51"/>
    <w:rsid w:val="00481315"/>
    <w:rsid w:val="00485F67"/>
    <w:rsid w:val="004E77A9"/>
    <w:rsid w:val="00510F63"/>
    <w:rsid w:val="00521350"/>
    <w:rsid w:val="00525DC3"/>
    <w:rsid w:val="00554973"/>
    <w:rsid w:val="00563A51"/>
    <w:rsid w:val="00672179"/>
    <w:rsid w:val="006C7E61"/>
    <w:rsid w:val="006E44CB"/>
    <w:rsid w:val="007228C5"/>
    <w:rsid w:val="00731C93"/>
    <w:rsid w:val="00755B30"/>
    <w:rsid w:val="007662D3"/>
    <w:rsid w:val="007A42FE"/>
    <w:rsid w:val="00832C2B"/>
    <w:rsid w:val="008369BD"/>
    <w:rsid w:val="00865DC9"/>
    <w:rsid w:val="008E678D"/>
    <w:rsid w:val="008E6EB8"/>
    <w:rsid w:val="0095227B"/>
    <w:rsid w:val="009837D9"/>
    <w:rsid w:val="00986F10"/>
    <w:rsid w:val="00991BB1"/>
    <w:rsid w:val="009C7226"/>
    <w:rsid w:val="009F66EC"/>
    <w:rsid w:val="00A27D09"/>
    <w:rsid w:val="00A539E5"/>
    <w:rsid w:val="00A577A7"/>
    <w:rsid w:val="00A72C90"/>
    <w:rsid w:val="00A745E3"/>
    <w:rsid w:val="00AA359B"/>
    <w:rsid w:val="00AB087D"/>
    <w:rsid w:val="00AD019C"/>
    <w:rsid w:val="00B01DDF"/>
    <w:rsid w:val="00B22111"/>
    <w:rsid w:val="00B44E8F"/>
    <w:rsid w:val="00B6213C"/>
    <w:rsid w:val="00B644A0"/>
    <w:rsid w:val="00BA7DB6"/>
    <w:rsid w:val="00BD39CE"/>
    <w:rsid w:val="00C3342F"/>
    <w:rsid w:val="00C93256"/>
    <w:rsid w:val="00DC5594"/>
    <w:rsid w:val="00DC7C41"/>
    <w:rsid w:val="00DF1464"/>
    <w:rsid w:val="00E3027C"/>
    <w:rsid w:val="00E8191C"/>
    <w:rsid w:val="00EA6BC8"/>
    <w:rsid w:val="00EE243D"/>
    <w:rsid w:val="00F16AB2"/>
    <w:rsid w:val="00F43E86"/>
    <w:rsid w:val="00FA4233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576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146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46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46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DF14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F1464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F1464"/>
    <w:pPr>
      <w:spacing w:after="0" w:line="240" w:lineRule="auto"/>
    </w:pPr>
    <w:rPr>
      <w:rFonts w:ascii="Arial" w:hAnsi="Arial" w:cs="Arial"/>
      <w:i/>
      <w:iCs/>
      <w:sz w:val="16"/>
      <w:szCs w:val="16"/>
      <w:lang w:eastAsia="nl-N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64"/>
    <w:rPr>
      <w:rFonts w:ascii="Arial" w:hAnsi="Arial" w:cs="Arial"/>
      <w:i/>
      <w:iCs/>
      <w:sz w:val="16"/>
      <w:szCs w:val="16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F14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146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46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46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DF14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F1464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F1464"/>
    <w:pPr>
      <w:spacing w:after="0" w:line="240" w:lineRule="auto"/>
    </w:pPr>
    <w:rPr>
      <w:rFonts w:ascii="Arial" w:hAnsi="Arial" w:cs="Arial"/>
      <w:i/>
      <w:iCs/>
      <w:sz w:val="16"/>
      <w:szCs w:val="16"/>
      <w:lang w:eastAsia="nl-N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64"/>
    <w:rPr>
      <w:rFonts w:ascii="Arial" w:hAnsi="Arial" w:cs="Arial"/>
      <w:i/>
      <w:iCs/>
      <w:sz w:val="16"/>
      <w:szCs w:val="16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F1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IAFRATE Thierry</dc:creator>
  <cp:keywords/>
  <dc:description/>
  <cp:lastModifiedBy>IAFRATE Thierry</cp:lastModifiedBy>
  <cp:revision>3</cp:revision>
  <cp:lastPrinted>2014-02-26T16:28:00Z</cp:lastPrinted>
  <dcterms:created xsi:type="dcterms:W3CDTF">2014-02-26T18:34:00Z</dcterms:created>
  <dcterms:modified xsi:type="dcterms:W3CDTF">2014-02-26T18:48:00Z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-26546744</vt:i4>
  </property>
  <property fmtid="{D5CDD505-2E9C-101B-9397-08002B2CF9AE}" pid="3" name="_NewReviewCycle">
    <vt:lpwstr/>
  </property>
  <property fmtid="{D5CDD505-2E9C-101B-9397-08002B2CF9AE}" pid="4" name="_EmailSubject">
    <vt:lpwstr>YoY 2013 figures - EMBARGO jeudi 27 fevrier/thirsday 27 February</vt:lpwstr>
  </property>
  <property fmtid="{D5CDD505-2E9C-101B-9397-08002B2CF9AE}" pid="5" name="_AuthorEmail">
    <vt:lpwstr>Thierry.IAFRATE@orangeluxembourg.lu</vt:lpwstr>
  </property>
  <property fmtid="{D5CDD505-2E9C-101B-9397-08002B2CF9AE}" pid="6" name="_AuthorEmailDisplayName">
    <vt:lpwstr>Thierry IAFRATE</vt:lpwstr>
  </property>
</Properties>
</file>