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196009F" w14:textId="6E082195" w:rsidR="00870603" w:rsidRPr="009802C3" w:rsidRDefault="00FE5502" w:rsidP="003745D0">
      <w:pPr>
        <w:rPr>
          <w:rFonts w:eastAsia="Calibri"/>
          <w:b/>
          <w:color w:val="212121"/>
          <w:sz w:val="30"/>
          <w:szCs w:val="30"/>
          <w:lang w:val="en-US"/>
        </w:rPr>
      </w:pPr>
      <w:r w:rsidRPr="009802C3">
        <w:rPr>
          <w:b/>
          <w:bCs/>
          <w:noProof/>
          <w:color w:val="000000"/>
          <w:sz w:val="24"/>
          <w:szCs w:val="24"/>
          <w:lang w:val="en-US"/>
        </w:rPr>
        <w:drawing>
          <wp:inline distT="0" distB="0" distL="0" distR="0" wp14:anchorId="310FFEE0" wp14:editId="4DB1A12E">
            <wp:extent cx="1028700" cy="443753"/>
            <wp:effectExtent l="0" t="0" r="0" b="0"/>
            <wp:docPr id="1" name="Picture 1" descr="M:\Admin Marketing\BRANDING\Logo KPMG\Cutting Through Complexity\KPMG keyline logos\Photoshop\Jpeg\KPMG_NoCP_CMYK_Eu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dmin Marketing\BRANDING\Logo KPMG\Cutting Through Complexity\KPMG keyline logos\Photoshop\Jpeg\KPMG_NoCP_CMYK_Euro.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9160" t="27132" r="12977" b="27390"/>
                    <a:stretch/>
                  </pic:blipFill>
                  <pic:spPr bwMode="auto">
                    <a:xfrm>
                      <a:off x="0" y="0"/>
                      <a:ext cx="1043962" cy="450337"/>
                    </a:xfrm>
                    <a:prstGeom prst="rect">
                      <a:avLst/>
                    </a:prstGeom>
                    <a:noFill/>
                    <a:ln>
                      <a:noFill/>
                    </a:ln>
                    <a:extLst>
                      <a:ext uri="{53640926-AAD7-44D8-BBD7-CCE9431645EC}">
                        <a14:shadowObscured xmlns:a14="http://schemas.microsoft.com/office/drawing/2010/main"/>
                      </a:ext>
                    </a:extLst>
                  </pic:spPr>
                </pic:pic>
              </a:graphicData>
            </a:graphic>
          </wp:inline>
        </w:drawing>
      </w:r>
      <w:r w:rsidR="00F30763">
        <w:rPr>
          <w:rFonts w:eastAsia="Calibri"/>
          <w:b/>
          <w:color w:val="212121"/>
          <w:sz w:val="30"/>
          <w:szCs w:val="30"/>
          <w:lang w:val="en-US"/>
        </w:rPr>
        <w:tab/>
      </w:r>
      <w:r w:rsidR="00F30763">
        <w:rPr>
          <w:rFonts w:eastAsia="Calibri"/>
          <w:b/>
          <w:color w:val="212121"/>
          <w:sz w:val="30"/>
          <w:szCs w:val="30"/>
          <w:lang w:val="en-US"/>
        </w:rPr>
        <w:tab/>
      </w:r>
      <w:r w:rsidR="00F30763">
        <w:rPr>
          <w:rFonts w:eastAsia="Calibri"/>
          <w:b/>
          <w:color w:val="212121"/>
          <w:sz w:val="30"/>
          <w:szCs w:val="30"/>
          <w:lang w:val="en-US"/>
        </w:rPr>
        <w:tab/>
      </w:r>
      <w:r w:rsidR="00F30763">
        <w:rPr>
          <w:rFonts w:eastAsia="Calibri"/>
          <w:b/>
          <w:color w:val="212121"/>
          <w:sz w:val="30"/>
          <w:szCs w:val="30"/>
          <w:lang w:val="en-US"/>
        </w:rPr>
        <w:tab/>
      </w:r>
      <w:r w:rsidR="00F30763">
        <w:rPr>
          <w:rFonts w:eastAsia="Calibri"/>
          <w:b/>
          <w:color w:val="212121"/>
          <w:sz w:val="30"/>
          <w:szCs w:val="30"/>
          <w:lang w:val="en-US"/>
        </w:rPr>
        <w:tab/>
      </w:r>
      <w:r w:rsidR="00F30763">
        <w:rPr>
          <w:rFonts w:eastAsia="Calibri"/>
          <w:b/>
          <w:color w:val="212121"/>
          <w:sz w:val="30"/>
          <w:szCs w:val="30"/>
          <w:lang w:val="en-US"/>
        </w:rPr>
        <w:tab/>
      </w:r>
      <w:r w:rsidR="00F30763">
        <w:rPr>
          <w:rFonts w:ascii="Source Sans Pro" w:hAnsi="Source Sans Pro"/>
          <w:noProof/>
          <w:color w:val="414141"/>
        </w:rPr>
        <w:drawing>
          <wp:inline distT="0" distB="0" distL="0" distR="0" wp14:anchorId="03E5E07D" wp14:editId="10748E28">
            <wp:extent cx="1410252" cy="435217"/>
            <wp:effectExtent l="0" t="0" r="0" b="3175"/>
            <wp:docPr id="4" name="Picture 4" descr="https://i1.wp.com/www.abbl.lu/content/uploads/2017/06/abbl.png?w=512&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1.wp.com/www.abbl.lu/content/uploads/2017/06/abbl.png?w=512&amp;ssl=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2725" b="27898"/>
                    <a:stretch/>
                  </pic:blipFill>
                  <pic:spPr bwMode="auto">
                    <a:xfrm>
                      <a:off x="0" y="0"/>
                      <a:ext cx="1469184" cy="453404"/>
                    </a:xfrm>
                    <a:prstGeom prst="rect">
                      <a:avLst/>
                    </a:prstGeom>
                    <a:noFill/>
                    <a:ln>
                      <a:noFill/>
                    </a:ln>
                    <a:extLst>
                      <a:ext uri="{53640926-AAD7-44D8-BBD7-CCE9431645EC}">
                        <a14:shadowObscured xmlns:a14="http://schemas.microsoft.com/office/drawing/2010/main"/>
                      </a:ext>
                    </a:extLst>
                  </pic:spPr>
                </pic:pic>
              </a:graphicData>
            </a:graphic>
          </wp:inline>
        </w:drawing>
      </w:r>
    </w:p>
    <w:p w14:paraId="2A77C815" w14:textId="77777777" w:rsidR="00FE5502" w:rsidRPr="009802C3" w:rsidRDefault="00FE5502" w:rsidP="003745D0">
      <w:pPr>
        <w:rPr>
          <w:rFonts w:eastAsia="Calibri"/>
          <w:b/>
          <w:color w:val="212121"/>
          <w:sz w:val="30"/>
          <w:szCs w:val="30"/>
          <w:lang w:val="en-US"/>
        </w:rPr>
      </w:pPr>
    </w:p>
    <w:p w14:paraId="431EEF87" w14:textId="461F2807" w:rsidR="006D261F" w:rsidRPr="009802C3" w:rsidRDefault="00F30763" w:rsidP="006D261F">
      <w:pPr>
        <w:rPr>
          <w:rFonts w:eastAsia="Calibri"/>
          <w:b/>
          <w:color w:val="0070C0"/>
          <w:sz w:val="40"/>
          <w:szCs w:val="40"/>
          <w:lang w:val="en-US"/>
        </w:rPr>
      </w:pPr>
      <w:r w:rsidRPr="00F30763">
        <w:rPr>
          <w:rFonts w:eastAsia="Calibri"/>
          <w:b/>
          <w:color w:val="212121"/>
          <w:sz w:val="24"/>
          <w:szCs w:val="24"/>
          <w:u w:val="single"/>
          <w:lang w:val="en-US"/>
        </w:rPr>
        <w:t>Press release</w:t>
      </w:r>
      <w:r w:rsidRPr="00F30763">
        <w:rPr>
          <w:rFonts w:eastAsia="Calibri"/>
          <w:b/>
          <w:color w:val="212121"/>
          <w:sz w:val="24"/>
          <w:szCs w:val="24"/>
          <w:lang w:val="en-US"/>
        </w:rPr>
        <w:br/>
        <w:t>23/11/2023</w:t>
      </w:r>
      <w:r>
        <w:rPr>
          <w:rFonts w:eastAsia="Calibri"/>
          <w:b/>
          <w:color w:val="0070C0"/>
          <w:sz w:val="40"/>
          <w:szCs w:val="40"/>
          <w:lang w:val="en-US"/>
        </w:rPr>
        <w:br/>
      </w:r>
      <w:r>
        <w:rPr>
          <w:rFonts w:eastAsia="Calibri"/>
          <w:b/>
          <w:color w:val="0070C0"/>
          <w:sz w:val="40"/>
          <w:szCs w:val="40"/>
          <w:lang w:val="en-US"/>
        </w:rPr>
        <w:br/>
      </w:r>
      <w:r w:rsidR="006D261F" w:rsidRPr="009802C3">
        <w:rPr>
          <w:rFonts w:eastAsia="Calibri"/>
          <w:b/>
          <w:color w:val="0070C0"/>
          <w:sz w:val="40"/>
          <w:szCs w:val="40"/>
          <w:lang w:val="en-US"/>
        </w:rPr>
        <w:t>Luxembourg private bankers consolidate their lead</w:t>
      </w:r>
      <w:r w:rsidR="000A6AD9" w:rsidRPr="009802C3">
        <w:rPr>
          <w:rFonts w:eastAsia="Calibri"/>
          <w:b/>
          <w:color w:val="0070C0"/>
          <w:sz w:val="40"/>
          <w:szCs w:val="40"/>
          <w:lang w:val="en-US"/>
        </w:rPr>
        <w:t xml:space="preserve"> within </w:t>
      </w:r>
      <w:proofErr w:type="gramStart"/>
      <w:r w:rsidR="000A6AD9" w:rsidRPr="009802C3">
        <w:rPr>
          <w:rFonts w:eastAsia="Calibri"/>
          <w:b/>
          <w:color w:val="0070C0"/>
          <w:sz w:val="40"/>
          <w:szCs w:val="40"/>
          <w:lang w:val="en-US"/>
        </w:rPr>
        <w:t>EU</w:t>
      </w:r>
      <w:proofErr w:type="gramEnd"/>
    </w:p>
    <w:p w14:paraId="21150CBE" w14:textId="4CCC8569" w:rsidR="00424B90" w:rsidRPr="009802C3" w:rsidRDefault="008F1D3F">
      <w:pPr>
        <w:rPr>
          <w:rFonts w:eastAsia="Calibri"/>
          <w:b/>
          <w:color w:val="212121"/>
          <w:sz w:val="24"/>
          <w:szCs w:val="24"/>
          <w:lang w:val="en-US"/>
        </w:rPr>
      </w:pPr>
      <w:r w:rsidRPr="009802C3">
        <w:rPr>
          <w:rFonts w:eastAsia="Calibri"/>
          <w:b/>
          <w:color w:val="212121"/>
          <w:lang w:val="en-US"/>
        </w:rPr>
        <w:br/>
      </w:r>
      <w:r w:rsidR="006D261F" w:rsidRPr="009802C3">
        <w:rPr>
          <w:rFonts w:eastAsia="Calibri"/>
          <w:b/>
          <w:color w:val="212121"/>
          <w:sz w:val="24"/>
          <w:szCs w:val="24"/>
          <w:lang w:val="en-US"/>
        </w:rPr>
        <w:t xml:space="preserve">Cost controls, outsourcing and Brexit </w:t>
      </w:r>
      <w:r w:rsidR="000A6AD9" w:rsidRPr="009802C3">
        <w:rPr>
          <w:rFonts w:eastAsia="Calibri"/>
          <w:b/>
          <w:color w:val="212121"/>
          <w:sz w:val="24"/>
          <w:szCs w:val="24"/>
          <w:lang w:val="en-US"/>
        </w:rPr>
        <w:t>effect boost</w:t>
      </w:r>
      <w:r w:rsidR="006D261F" w:rsidRPr="009802C3">
        <w:rPr>
          <w:rFonts w:eastAsia="Calibri"/>
          <w:b/>
          <w:color w:val="212121"/>
          <w:sz w:val="24"/>
          <w:szCs w:val="24"/>
          <w:lang w:val="en-US"/>
        </w:rPr>
        <w:t xml:space="preserve"> bottom </w:t>
      </w:r>
      <w:proofErr w:type="gramStart"/>
      <w:r w:rsidR="006D261F" w:rsidRPr="009802C3">
        <w:rPr>
          <w:rFonts w:eastAsia="Calibri"/>
          <w:b/>
          <w:color w:val="212121"/>
          <w:sz w:val="24"/>
          <w:szCs w:val="24"/>
          <w:lang w:val="en-US"/>
        </w:rPr>
        <w:t>line</w:t>
      </w:r>
      <w:proofErr w:type="gramEnd"/>
    </w:p>
    <w:p w14:paraId="2E32CF31" w14:textId="77777777" w:rsidR="00F96122" w:rsidRPr="009802C3" w:rsidRDefault="00F96122">
      <w:pPr>
        <w:rPr>
          <w:rFonts w:eastAsia="Calibri"/>
          <w:b/>
          <w:color w:val="212121"/>
          <w:lang w:val="en-US"/>
        </w:rPr>
      </w:pPr>
    </w:p>
    <w:p w14:paraId="34785C14" w14:textId="37478F9D" w:rsidR="00F96122" w:rsidRPr="009802C3" w:rsidRDefault="00F96122">
      <w:pPr>
        <w:rPr>
          <w:rFonts w:eastAsia="Times New Roman"/>
          <w:lang w:val="en-US"/>
        </w:rPr>
      </w:pPr>
      <w:r w:rsidRPr="009802C3">
        <w:rPr>
          <w:rFonts w:eastAsia="Times New Roman"/>
          <w:lang w:val="en-US"/>
        </w:rPr>
        <w:t xml:space="preserve">In a challenging global environment </w:t>
      </w:r>
      <w:r w:rsidR="000A6AD9" w:rsidRPr="009802C3">
        <w:rPr>
          <w:rFonts w:eastAsia="Times New Roman"/>
          <w:lang w:val="en-US"/>
        </w:rPr>
        <w:t>characterized by</w:t>
      </w:r>
      <w:r w:rsidRPr="009802C3">
        <w:rPr>
          <w:rFonts w:eastAsia="Times New Roman"/>
          <w:lang w:val="en-US"/>
        </w:rPr>
        <w:t xml:space="preserve"> geopolitical instability, high inflation, regulatory change </w:t>
      </w:r>
      <w:r w:rsidR="000A6AD9" w:rsidRPr="009802C3">
        <w:rPr>
          <w:rFonts w:eastAsia="Times New Roman"/>
          <w:lang w:val="en-US"/>
        </w:rPr>
        <w:t xml:space="preserve">but also </w:t>
      </w:r>
      <w:r w:rsidRPr="009802C3">
        <w:rPr>
          <w:rFonts w:eastAsia="Times New Roman"/>
          <w:lang w:val="en-US"/>
        </w:rPr>
        <w:t xml:space="preserve">rising client expectations, it </w:t>
      </w:r>
      <w:r w:rsidR="000A6AD9" w:rsidRPr="009802C3">
        <w:rPr>
          <w:rFonts w:eastAsia="Times New Roman"/>
          <w:lang w:val="en-US"/>
        </w:rPr>
        <w:t>seems an important time to assess the health and outlook of Luxembourg’s private banking sector</w:t>
      </w:r>
      <w:r w:rsidRPr="009802C3">
        <w:rPr>
          <w:rFonts w:eastAsia="Times New Roman"/>
          <w:lang w:val="en-US"/>
        </w:rPr>
        <w:t>.</w:t>
      </w:r>
    </w:p>
    <w:p w14:paraId="403EF389" w14:textId="77777777" w:rsidR="00F96122" w:rsidRPr="009802C3" w:rsidRDefault="00F96122">
      <w:pPr>
        <w:rPr>
          <w:rFonts w:eastAsia="Calibri"/>
          <w:color w:val="212121"/>
          <w:lang w:val="en-US"/>
        </w:rPr>
      </w:pPr>
    </w:p>
    <w:p w14:paraId="03247020" w14:textId="30772D8C" w:rsidR="00F96122" w:rsidRPr="009802C3" w:rsidRDefault="00F96122">
      <w:pPr>
        <w:rPr>
          <w:rFonts w:eastAsia="Calibri"/>
          <w:color w:val="212121"/>
          <w:lang w:val="en-US"/>
        </w:rPr>
      </w:pPr>
      <w:r w:rsidRPr="009802C3">
        <w:rPr>
          <w:rFonts w:eastAsia="Calibri"/>
          <w:color w:val="212121"/>
          <w:lang w:val="en-US"/>
        </w:rPr>
        <w:t>The story turns out to be one of remarkable resilience; the third</w:t>
      </w:r>
      <w:r w:rsidR="000A6AD9" w:rsidRPr="009802C3">
        <w:rPr>
          <w:rFonts w:eastAsia="Calibri"/>
          <w:color w:val="212121"/>
          <w:lang w:val="en-US"/>
        </w:rPr>
        <w:t xml:space="preserve"> edition of the annual survey conducted by</w:t>
      </w:r>
      <w:r w:rsidRPr="009802C3">
        <w:rPr>
          <w:rFonts w:eastAsia="Calibri"/>
          <w:color w:val="212121"/>
          <w:lang w:val="en-US"/>
        </w:rPr>
        <w:t xml:space="preserve"> KPMG Luxembourg and </w:t>
      </w:r>
      <w:r w:rsidR="000A6AD9" w:rsidRPr="009802C3">
        <w:rPr>
          <w:rFonts w:eastAsia="Calibri"/>
          <w:color w:val="212121"/>
          <w:lang w:val="en-US"/>
        </w:rPr>
        <w:t xml:space="preserve">the </w:t>
      </w:r>
      <w:r w:rsidR="00F45865" w:rsidRPr="009802C3">
        <w:rPr>
          <w:rFonts w:eastAsia="Calibri"/>
          <w:color w:val="212121"/>
          <w:lang w:val="en-US"/>
        </w:rPr>
        <w:t xml:space="preserve">Luxembourg Bankers’ Association (ABBL) </w:t>
      </w:r>
      <w:r w:rsidRPr="009802C3">
        <w:rPr>
          <w:rFonts w:eastAsia="Calibri"/>
          <w:color w:val="212121"/>
          <w:lang w:val="en-US"/>
        </w:rPr>
        <w:t>Private Banking Cluster</w:t>
      </w:r>
      <w:r w:rsidR="00F45865" w:rsidRPr="009802C3">
        <w:rPr>
          <w:rFonts w:eastAsia="Calibri"/>
          <w:color w:val="212121"/>
          <w:lang w:val="en-US"/>
        </w:rPr>
        <w:t xml:space="preserve"> (PBGL)</w:t>
      </w:r>
      <w:r w:rsidRPr="009802C3">
        <w:rPr>
          <w:rFonts w:eastAsia="Calibri"/>
          <w:color w:val="212121"/>
          <w:lang w:val="en-US"/>
        </w:rPr>
        <w:t xml:space="preserve"> finds the sector </w:t>
      </w:r>
      <w:r w:rsidR="000A6AD9" w:rsidRPr="009802C3">
        <w:rPr>
          <w:rFonts w:eastAsia="Calibri"/>
          <w:color w:val="212121"/>
          <w:lang w:val="en-US"/>
        </w:rPr>
        <w:t>thriving</w:t>
      </w:r>
      <w:r w:rsidR="002D79CD" w:rsidRPr="009802C3">
        <w:rPr>
          <w:rFonts w:eastAsia="Calibri"/>
          <w:color w:val="212121"/>
          <w:lang w:val="en-US"/>
        </w:rPr>
        <w:t xml:space="preserve"> despite undeniably tough economic, market and </w:t>
      </w:r>
      <w:r w:rsidR="000A6AD9" w:rsidRPr="009802C3">
        <w:rPr>
          <w:rFonts w:eastAsia="Calibri"/>
          <w:color w:val="212121"/>
          <w:lang w:val="en-US"/>
        </w:rPr>
        <w:t>recruitment</w:t>
      </w:r>
      <w:r w:rsidR="002D79CD" w:rsidRPr="009802C3">
        <w:rPr>
          <w:rFonts w:eastAsia="Calibri"/>
          <w:color w:val="212121"/>
          <w:lang w:val="en-US"/>
        </w:rPr>
        <w:t xml:space="preserve"> conditions.</w:t>
      </w:r>
    </w:p>
    <w:p w14:paraId="4BC468E9" w14:textId="77777777" w:rsidR="00F45865" w:rsidRPr="009802C3" w:rsidRDefault="00F45865">
      <w:pPr>
        <w:rPr>
          <w:rFonts w:eastAsia="Calibri"/>
          <w:color w:val="212121"/>
          <w:lang w:val="en-US"/>
        </w:rPr>
      </w:pPr>
    </w:p>
    <w:p w14:paraId="35CA3F14" w14:textId="5C58ECC2" w:rsidR="00F45865" w:rsidRPr="009802C3" w:rsidRDefault="00F45865" w:rsidP="00967CB8">
      <w:pPr>
        <w:rPr>
          <w:rFonts w:eastAsia="Calibri"/>
          <w:color w:val="212121"/>
          <w:lang w:val="en-US"/>
        </w:rPr>
      </w:pPr>
      <w:r w:rsidRPr="009802C3">
        <w:rPr>
          <w:rFonts w:eastAsia="Calibri"/>
          <w:color w:val="212121"/>
          <w:lang w:val="en-US"/>
        </w:rPr>
        <w:t xml:space="preserve">"Helping our members to better understand the challenges facing their businesses is one of the ABBL's main missions. Our Private Banking Cluster, the PBGL, offers industry leaders a unique platform for critically </w:t>
      </w:r>
      <w:proofErr w:type="spellStart"/>
      <w:r w:rsidRPr="009802C3">
        <w:rPr>
          <w:rFonts w:eastAsia="Calibri"/>
          <w:color w:val="212121"/>
          <w:lang w:val="en-US"/>
        </w:rPr>
        <w:t>analysing</w:t>
      </w:r>
      <w:proofErr w:type="spellEnd"/>
      <w:r w:rsidRPr="009802C3">
        <w:rPr>
          <w:rFonts w:eastAsia="Calibri"/>
          <w:color w:val="212121"/>
          <w:lang w:val="en-US"/>
        </w:rPr>
        <w:t xml:space="preserve"> the evolution of the business models of private banks operating in the Luxembourg market, as well as the priorities for continuing to strengthen Luxembourg as a 'domicile of choice' for wealthy clients. Surveys such as the one we have just conducted with KPMG are extremely valuable decision-making tools in this context", says Fabio </w:t>
      </w:r>
      <w:proofErr w:type="spellStart"/>
      <w:r w:rsidRPr="009802C3">
        <w:rPr>
          <w:rFonts w:eastAsia="Calibri"/>
          <w:color w:val="212121"/>
          <w:lang w:val="en-US"/>
        </w:rPr>
        <w:t>Mandorino</w:t>
      </w:r>
      <w:proofErr w:type="spellEnd"/>
      <w:r w:rsidRPr="009802C3">
        <w:rPr>
          <w:rFonts w:eastAsia="Calibri"/>
          <w:color w:val="212121"/>
          <w:lang w:val="en-US"/>
        </w:rPr>
        <w:t>, PBGL's coordinator.</w:t>
      </w:r>
    </w:p>
    <w:p w14:paraId="72669A47" w14:textId="77777777" w:rsidR="00F45865" w:rsidRPr="009802C3" w:rsidRDefault="00F45865">
      <w:pPr>
        <w:rPr>
          <w:rFonts w:eastAsia="Calibri"/>
          <w:color w:val="212121"/>
        </w:rPr>
      </w:pPr>
    </w:p>
    <w:p w14:paraId="77470DD5" w14:textId="0FBC98C9" w:rsidR="002D79CD" w:rsidRPr="009802C3" w:rsidRDefault="002D79CD">
      <w:pPr>
        <w:rPr>
          <w:rFonts w:eastAsia="Calibri"/>
          <w:color w:val="212121"/>
          <w:lang w:val="en-US"/>
        </w:rPr>
      </w:pPr>
      <w:r w:rsidRPr="009802C3">
        <w:rPr>
          <w:rFonts w:eastAsia="Calibri"/>
          <w:color w:val="212121"/>
          <w:lang w:val="en-US"/>
        </w:rPr>
        <w:t xml:space="preserve">Here’s a snapshot of some of </w:t>
      </w:r>
      <w:r w:rsidR="000A6AD9" w:rsidRPr="009802C3">
        <w:rPr>
          <w:rFonts w:eastAsia="Calibri"/>
          <w:color w:val="212121"/>
          <w:lang w:val="en-US"/>
        </w:rPr>
        <w:t>the key indicators</w:t>
      </w:r>
      <w:r w:rsidR="00514FC1" w:rsidRPr="009802C3">
        <w:rPr>
          <w:rFonts w:eastAsia="Calibri"/>
          <w:color w:val="212121"/>
          <w:lang w:val="en-US"/>
        </w:rPr>
        <w:t xml:space="preserve"> from 2022</w:t>
      </w:r>
      <w:r w:rsidR="00F45865" w:rsidRPr="009802C3">
        <w:rPr>
          <w:rStyle w:val="FootnoteReference"/>
          <w:rFonts w:eastAsia="Calibri"/>
          <w:color w:val="212121"/>
          <w:lang w:val="en-US"/>
        </w:rPr>
        <w:footnoteReference w:id="1"/>
      </w:r>
      <w:r w:rsidRPr="009802C3">
        <w:rPr>
          <w:rFonts w:eastAsia="Calibri"/>
          <w:color w:val="212121"/>
          <w:lang w:val="en-US"/>
        </w:rPr>
        <w:t>:</w:t>
      </w:r>
    </w:p>
    <w:p w14:paraId="2466A2A8" w14:textId="77777777" w:rsidR="002D79CD" w:rsidRPr="009802C3" w:rsidRDefault="002D79CD">
      <w:pPr>
        <w:rPr>
          <w:rFonts w:eastAsia="Calibri"/>
          <w:color w:val="212121"/>
          <w:lang w:val="en-US"/>
        </w:rPr>
      </w:pPr>
    </w:p>
    <w:p w14:paraId="54AA2157" w14:textId="21A42BBE" w:rsidR="002D79CD" w:rsidRPr="009802C3" w:rsidRDefault="002D79CD" w:rsidP="002D79CD">
      <w:pPr>
        <w:pStyle w:val="ListParagraph"/>
        <w:numPr>
          <w:ilvl w:val="0"/>
          <w:numId w:val="1"/>
        </w:numPr>
        <w:rPr>
          <w:rFonts w:eastAsia="Calibri"/>
          <w:color w:val="212121"/>
          <w:lang w:val="en-US"/>
        </w:rPr>
      </w:pPr>
      <w:r w:rsidRPr="009802C3">
        <w:rPr>
          <w:rFonts w:eastAsia="Calibri"/>
          <w:color w:val="212121"/>
          <w:lang w:val="en-US"/>
        </w:rPr>
        <w:t xml:space="preserve">New net money </w:t>
      </w:r>
      <w:r w:rsidRPr="009802C3">
        <w:rPr>
          <w:lang w:val="en-US"/>
        </w:rPr>
        <w:t xml:space="preserve">of </w:t>
      </w:r>
      <w:r w:rsidRPr="003C0B8F">
        <w:rPr>
          <w:lang w:val="en-US"/>
        </w:rPr>
        <w:t>€31.</w:t>
      </w:r>
      <w:r w:rsidR="00DD4412" w:rsidRPr="003C0B8F">
        <w:rPr>
          <w:lang w:val="en-US"/>
        </w:rPr>
        <w:t>7</w:t>
      </w:r>
      <w:r w:rsidRPr="003C0B8F">
        <w:rPr>
          <w:lang w:val="en-US"/>
        </w:rPr>
        <w:t>bn</w:t>
      </w:r>
      <w:r w:rsidRPr="009802C3">
        <w:rPr>
          <w:lang w:val="en-US"/>
        </w:rPr>
        <w:t xml:space="preserve"> (compared with €45bn for Swiss private banks).</w:t>
      </w:r>
    </w:p>
    <w:p w14:paraId="57A99CF3" w14:textId="1DFE662D" w:rsidR="002D79CD" w:rsidRPr="009802C3" w:rsidRDefault="002D79CD" w:rsidP="002D79CD">
      <w:pPr>
        <w:pStyle w:val="ListParagraph"/>
        <w:numPr>
          <w:ilvl w:val="0"/>
          <w:numId w:val="1"/>
        </w:numPr>
        <w:rPr>
          <w:rFonts w:eastAsia="Calibri"/>
          <w:color w:val="212121"/>
          <w:lang w:val="en-US"/>
        </w:rPr>
      </w:pPr>
      <w:r w:rsidRPr="009802C3">
        <w:rPr>
          <w:lang w:val="en-US"/>
        </w:rPr>
        <w:t xml:space="preserve">All four different models studied – </w:t>
      </w:r>
      <w:r w:rsidR="005B4A1F" w:rsidRPr="009802C3">
        <w:rPr>
          <w:lang w:val="en-US"/>
        </w:rPr>
        <w:t>private banks that are part</w:t>
      </w:r>
      <w:r w:rsidRPr="009802C3">
        <w:rPr>
          <w:lang w:val="en-US"/>
        </w:rPr>
        <w:t xml:space="preserve"> </w:t>
      </w:r>
      <w:r w:rsidR="000A6AD9" w:rsidRPr="009802C3">
        <w:rPr>
          <w:rFonts w:eastAsia="Calibri"/>
          <w:color w:val="212121"/>
          <w:lang w:val="en-US"/>
        </w:rPr>
        <w:t>of</w:t>
      </w:r>
      <w:r w:rsidR="005B4A1F" w:rsidRPr="009802C3">
        <w:rPr>
          <w:rFonts w:eastAsia="Calibri"/>
          <w:color w:val="212121"/>
          <w:lang w:val="en-US"/>
        </w:rPr>
        <w:t xml:space="preserve"> universal </w:t>
      </w:r>
      <w:r w:rsidR="000A6AD9" w:rsidRPr="009802C3">
        <w:rPr>
          <w:rFonts w:eastAsia="Calibri"/>
          <w:color w:val="212121"/>
          <w:lang w:val="en-US"/>
        </w:rPr>
        <w:t xml:space="preserve">banking </w:t>
      </w:r>
      <w:r w:rsidR="005B4A1F" w:rsidRPr="009802C3">
        <w:rPr>
          <w:rFonts w:eastAsia="Calibri"/>
          <w:color w:val="212121"/>
          <w:lang w:val="en-US"/>
        </w:rPr>
        <w:t xml:space="preserve">groups, boutiques with </w:t>
      </w:r>
      <w:r w:rsidR="000A6AD9" w:rsidRPr="009802C3">
        <w:rPr>
          <w:rFonts w:eastAsia="Calibri"/>
          <w:color w:val="212121"/>
          <w:lang w:val="en-US"/>
        </w:rPr>
        <w:t>or</w:t>
      </w:r>
      <w:r w:rsidR="005B4A1F" w:rsidRPr="009802C3">
        <w:rPr>
          <w:rFonts w:eastAsia="Calibri"/>
          <w:color w:val="212121"/>
          <w:lang w:val="en-US"/>
        </w:rPr>
        <w:t xml:space="preserve"> without branches across Europe, and specialist wealth management firms </w:t>
      </w:r>
      <w:r w:rsidRPr="009802C3">
        <w:rPr>
          <w:lang w:val="en-US"/>
        </w:rPr>
        <w:t xml:space="preserve">– </w:t>
      </w:r>
      <w:r w:rsidR="000A6AD9" w:rsidRPr="009802C3">
        <w:rPr>
          <w:lang w:val="en-US"/>
        </w:rPr>
        <w:t>are demonstrating that</w:t>
      </w:r>
      <w:r w:rsidRPr="009802C3">
        <w:rPr>
          <w:lang w:val="en-US"/>
        </w:rPr>
        <w:t xml:space="preserve"> they can be successful in adverse conditions.</w:t>
      </w:r>
    </w:p>
    <w:p w14:paraId="16F5EE48" w14:textId="713E634B" w:rsidR="002D79CD" w:rsidRPr="009802C3" w:rsidRDefault="002D79CD" w:rsidP="002D79CD">
      <w:pPr>
        <w:pStyle w:val="ListParagraph"/>
        <w:numPr>
          <w:ilvl w:val="0"/>
          <w:numId w:val="1"/>
        </w:numPr>
        <w:rPr>
          <w:rFonts w:eastAsia="Calibri"/>
          <w:color w:val="212121"/>
          <w:lang w:val="en-US"/>
        </w:rPr>
      </w:pPr>
      <w:r w:rsidRPr="009802C3">
        <w:rPr>
          <w:lang w:val="en-US"/>
        </w:rPr>
        <w:t>Luxembourg’s pr</w:t>
      </w:r>
      <w:r w:rsidR="005B4A1F" w:rsidRPr="009802C3">
        <w:rPr>
          <w:lang w:val="en-US"/>
        </w:rPr>
        <w:t>i</w:t>
      </w:r>
      <w:r w:rsidRPr="009802C3">
        <w:rPr>
          <w:lang w:val="en-US"/>
        </w:rPr>
        <w:t>v</w:t>
      </w:r>
      <w:r w:rsidR="005B4A1F" w:rsidRPr="009802C3">
        <w:rPr>
          <w:lang w:val="en-US"/>
        </w:rPr>
        <w:t xml:space="preserve">ate banks </w:t>
      </w:r>
      <w:r w:rsidR="00B551F5" w:rsidRPr="009802C3">
        <w:rPr>
          <w:lang w:val="en-US"/>
        </w:rPr>
        <w:t xml:space="preserve">are </w:t>
      </w:r>
      <w:r w:rsidR="005B4A1F" w:rsidRPr="009802C3">
        <w:rPr>
          <w:lang w:val="en-US"/>
        </w:rPr>
        <w:t>evolv</w:t>
      </w:r>
      <w:r w:rsidR="00B551F5" w:rsidRPr="009802C3">
        <w:rPr>
          <w:lang w:val="en-US"/>
        </w:rPr>
        <w:t>ing</w:t>
      </w:r>
      <w:r w:rsidR="005B4A1F" w:rsidRPr="009802C3">
        <w:rPr>
          <w:lang w:val="en-US"/>
        </w:rPr>
        <w:t xml:space="preserve"> to keep pace with clients’ demands, illustrated by </w:t>
      </w:r>
      <w:r w:rsidR="000A6AD9" w:rsidRPr="009802C3">
        <w:rPr>
          <w:lang w:val="en-US"/>
        </w:rPr>
        <w:t>increased</w:t>
      </w:r>
      <w:r w:rsidR="005B4A1F" w:rsidRPr="009802C3">
        <w:rPr>
          <w:lang w:val="en-US"/>
        </w:rPr>
        <w:t xml:space="preserve"> investment </w:t>
      </w:r>
      <w:r w:rsidR="000A6AD9" w:rsidRPr="009802C3">
        <w:rPr>
          <w:lang w:val="en-US"/>
        </w:rPr>
        <w:t xml:space="preserve">opportunities </w:t>
      </w:r>
      <w:r w:rsidR="005B4A1F" w:rsidRPr="009802C3">
        <w:rPr>
          <w:lang w:val="en-US"/>
        </w:rPr>
        <w:t xml:space="preserve">in private equity and </w:t>
      </w:r>
      <w:r w:rsidR="000A6AD9" w:rsidRPr="009802C3">
        <w:rPr>
          <w:lang w:val="en-US"/>
        </w:rPr>
        <w:t xml:space="preserve">private </w:t>
      </w:r>
      <w:r w:rsidR="005B4A1F" w:rsidRPr="009802C3">
        <w:rPr>
          <w:lang w:val="en-US"/>
        </w:rPr>
        <w:t xml:space="preserve">debt. </w:t>
      </w:r>
      <w:r w:rsidRPr="009802C3">
        <w:rPr>
          <w:lang w:val="en-US"/>
        </w:rPr>
        <w:t xml:space="preserve"> </w:t>
      </w:r>
    </w:p>
    <w:p w14:paraId="76563496" w14:textId="77777777" w:rsidR="00F96122" w:rsidRPr="009802C3" w:rsidRDefault="00F96122">
      <w:pPr>
        <w:rPr>
          <w:rFonts w:eastAsia="Times New Roman"/>
          <w:lang w:val="en-US"/>
        </w:rPr>
      </w:pPr>
    </w:p>
    <w:p w14:paraId="5984F5C2" w14:textId="6CF148A1" w:rsidR="002D79CD" w:rsidRPr="009802C3" w:rsidRDefault="00615BA1" w:rsidP="002D79CD">
      <w:pPr>
        <w:rPr>
          <w:lang w:val="en-US"/>
        </w:rPr>
      </w:pPr>
      <w:r w:rsidRPr="009802C3">
        <w:rPr>
          <w:lang w:val="en-US"/>
        </w:rPr>
        <w:t xml:space="preserve">The headline figures remain positive despite </w:t>
      </w:r>
      <w:r w:rsidR="000A6AD9" w:rsidRPr="009802C3">
        <w:rPr>
          <w:lang w:val="en-US"/>
        </w:rPr>
        <w:t>global economic turbulence</w:t>
      </w:r>
      <w:r w:rsidRPr="009802C3">
        <w:rPr>
          <w:lang w:val="en-US"/>
        </w:rPr>
        <w:t xml:space="preserve">. </w:t>
      </w:r>
      <w:r w:rsidR="000A6AD9" w:rsidRPr="009802C3">
        <w:rPr>
          <w:lang w:val="en-US"/>
        </w:rPr>
        <w:t xml:space="preserve">Although </w:t>
      </w:r>
      <w:r w:rsidR="005B4A1F" w:rsidRPr="009802C3">
        <w:rPr>
          <w:lang w:val="en-US"/>
        </w:rPr>
        <w:t>total assets under management</w:t>
      </w:r>
      <w:r w:rsidR="000A6AD9" w:rsidRPr="009802C3">
        <w:rPr>
          <w:lang w:val="en-US"/>
        </w:rPr>
        <w:t xml:space="preserve"> declined by 2.3% in</w:t>
      </w:r>
      <w:r w:rsidR="002D79CD" w:rsidRPr="009802C3">
        <w:rPr>
          <w:lang w:val="en-US"/>
        </w:rPr>
        <w:t xml:space="preserve"> 2022</w:t>
      </w:r>
      <w:r w:rsidR="000A6AD9" w:rsidRPr="009802C3">
        <w:rPr>
          <w:lang w:val="en-US"/>
        </w:rPr>
        <w:t xml:space="preserve"> </w:t>
      </w:r>
      <w:proofErr w:type="gramStart"/>
      <w:r w:rsidR="000A6AD9" w:rsidRPr="009802C3">
        <w:rPr>
          <w:lang w:val="en-US"/>
        </w:rPr>
        <w:t>as a result of</w:t>
      </w:r>
      <w:proofErr w:type="gramEnd"/>
      <w:r w:rsidR="000A6AD9" w:rsidRPr="009802C3">
        <w:rPr>
          <w:lang w:val="en-US"/>
        </w:rPr>
        <w:t xml:space="preserve"> falling equity and bond markets,</w:t>
      </w:r>
      <w:r w:rsidR="002D79CD" w:rsidRPr="009802C3">
        <w:rPr>
          <w:lang w:val="en-US"/>
        </w:rPr>
        <w:t xml:space="preserve"> </w:t>
      </w:r>
      <w:r w:rsidR="000A6AD9" w:rsidRPr="009802C3">
        <w:rPr>
          <w:lang w:val="en-US"/>
        </w:rPr>
        <w:t xml:space="preserve">it </w:t>
      </w:r>
      <w:r w:rsidR="002D79CD" w:rsidRPr="009802C3">
        <w:rPr>
          <w:lang w:val="en-US"/>
        </w:rPr>
        <w:t>proved to be a solidly profitable year for Luxembourg</w:t>
      </w:r>
      <w:r w:rsidR="000A6AD9" w:rsidRPr="009802C3">
        <w:rPr>
          <w:lang w:val="en-US"/>
        </w:rPr>
        <w:t>’s</w:t>
      </w:r>
      <w:r w:rsidR="002D79CD" w:rsidRPr="009802C3">
        <w:rPr>
          <w:lang w:val="en-US"/>
        </w:rPr>
        <w:t xml:space="preserve"> private banking sector, with net income up by 24%. </w:t>
      </w:r>
    </w:p>
    <w:p w14:paraId="11D7D0ED" w14:textId="77777777" w:rsidR="002D79CD" w:rsidRPr="009802C3" w:rsidRDefault="002D79CD">
      <w:pPr>
        <w:rPr>
          <w:rFonts w:eastAsia="Times New Roman"/>
          <w:lang w:val="en-US"/>
        </w:rPr>
      </w:pPr>
    </w:p>
    <w:p w14:paraId="1208C902" w14:textId="77777777" w:rsidR="004800CA" w:rsidRPr="009802C3" w:rsidRDefault="00C5252E">
      <w:pPr>
        <w:rPr>
          <w:rFonts w:eastAsia="Calibri"/>
          <w:color w:val="212121"/>
          <w:lang w:val="en-US"/>
        </w:rPr>
      </w:pPr>
      <w:r w:rsidRPr="009802C3">
        <w:rPr>
          <w:rFonts w:eastAsia="Calibri"/>
          <w:color w:val="212121"/>
          <w:lang w:val="en-US"/>
        </w:rPr>
        <w:t>“</w:t>
      </w:r>
      <w:r w:rsidR="00870603" w:rsidRPr="009802C3">
        <w:rPr>
          <w:rFonts w:eastAsia="Calibri"/>
          <w:color w:val="212121"/>
          <w:lang w:val="en-US"/>
        </w:rPr>
        <w:t xml:space="preserve">Luxembourg private banks, large and small, </w:t>
      </w:r>
      <w:r w:rsidR="000C106B" w:rsidRPr="009802C3">
        <w:rPr>
          <w:rFonts w:eastAsia="Calibri"/>
          <w:color w:val="212121"/>
          <w:lang w:val="en-US"/>
        </w:rPr>
        <w:t>are punching above their weight</w:t>
      </w:r>
      <w:r w:rsidR="000A6AD9" w:rsidRPr="009802C3">
        <w:rPr>
          <w:rFonts w:eastAsia="Calibri"/>
          <w:color w:val="212121"/>
          <w:lang w:val="en-US"/>
        </w:rPr>
        <w:t xml:space="preserve"> – t</w:t>
      </w:r>
      <w:r w:rsidR="000C106B" w:rsidRPr="009802C3">
        <w:rPr>
          <w:rFonts w:eastAsia="Calibri"/>
          <w:color w:val="212121"/>
          <w:lang w:val="en-US"/>
        </w:rPr>
        <w:t>hey</w:t>
      </w:r>
      <w:r w:rsidR="000A6AD9" w:rsidRPr="009802C3">
        <w:rPr>
          <w:rFonts w:eastAsia="Calibri"/>
          <w:color w:val="212121"/>
          <w:lang w:val="en-US"/>
        </w:rPr>
        <w:t xml:space="preserve"> </w:t>
      </w:r>
      <w:r w:rsidRPr="009802C3">
        <w:rPr>
          <w:rFonts w:eastAsia="Calibri"/>
          <w:color w:val="212121"/>
          <w:lang w:val="en-US"/>
        </w:rPr>
        <w:t>continue to demonstrate the</w:t>
      </w:r>
      <w:r w:rsidR="00870603" w:rsidRPr="009802C3">
        <w:rPr>
          <w:rFonts w:eastAsia="Calibri"/>
          <w:color w:val="212121"/>
          <w:lang w:val="en-US"/>
        </w:rPr>
        <w:t>ir</w:t>
      </w:r>
      <w:r w:rsidRPr="009802C3">
        <w:rPr>
          <w:rFonts w:eastAsia="Calibri"/>
          <w:color w:val="212121"/>
          <w:lang w:val="en-US"/>
        </w:rPr>
        <w:t xml:space="preserve"> resilience, resourcefulness and international appeal</w:t>
      </w:r>
      <w:r w:rsidR="000A6AD9" w:rsidRPr="009802C3">
        <w:rPr>
          <w:rFonts w:eastAsia="Calibri"/>
          <w:color w:val="212121"/>
          <w:lang w:val="en-US"/>
        </w:rPr>
        <w:t xml:space="preserve">,” says Anne-Sophie </w:t>
      </w:r>
      <w:proofErr w:type="spellStart"/>
      <w:r w:rsidR="000A6AD9" w:rsidRPr="009802C3">
        <w:rPr>
          <w:rFonts w:eastAsia="Calibri"/>
          <w:color w:val="212121"/>
          <w:lang w:val="en-US"/>
        </w:rPr>
        <w:t>Minaldo</w:t>
      </w:r>
      <w:proofErr w:type="spellEnd"/>
      <w:r w:rsidR="000A6AD9" w:rsidRPr="009802C3">
        <w:rPr>
          <w:rFonts w:eastAsia="Calibri"/>
          <w:color w:val="212121"/>
          <w:lang w:val="en-US"/>
        </w:rPr>
        <w:t xml:space="preserve">, </w:t>
      </w:r>
      <w:proofErr w:type="gramStart"/>
      <w:r w:rsidR="004800CA" w:rsidRPr="009802C3">
        <w:rPr>
          <w:rFonts w:eastAsia="Calibri"/>
          <w:color w:val="212121"/>
          <w:lang w:val="en-US"/>
        </w:rPr>
        <w:t>p</w:t>
      </w:r>
      <w:r w:rsidR="000A6AD9" w:rsidRPr="009802C3">
        <w:rPr>
          <w:rFonts w:eastAsia="Calibri"/>
          <w:color w:val="212121"/>
          <w:lang w:val="en-US"/>
        </w:rPr>
        <w:t>artner</w:t>
      </w:r>
      <w:proofErr w:type="gramEnd"/>
      <w:r w:rsidR="004800CA" w:rsidRPr="009802C3">
        <w:rPr>
          <w:rFonts w:eastAsia="Calibri"/>
          <w:color w:val="212121"/>
          <w:lang w:val="en-US"/>
        </w:rPr>
        <w:t xml:space="preserve"> and head of r</w:t>
      </w:r>
      <w:r w:rsidR="000A6AD9" w:rsidRPr="009802C3">
        <w:rPr>
          <w:rFonts w:eastAsia="Calibri"/>
          <w:color w:val="212121"/>
          <w:lang w:val="en-US"/>
        </w:rPr>
        <w:t xml:space="preserve">egulatory services </w:t>
      </w:r>
      <w:r w:rsidR="004800CA" w:rsidRPr="009802C3">
        <w:rPr>
          <w:rFonts w:eastAsia="Calibri"/>
          <w:color w:val="212121"/>
          <w:lang w:val="en-US"/>
        </w:rPr>
        <w:t>at</w:t>
      </w:r>
      <w:r w:rsidR="000A6AD9" w:rsidRPr="009802C3">
        <w:rPr>
          <w:rFonts w:eastAsia="Calibri"/>
          <w:color w:val="212121"/>
          <w:lang w:val="en-US"/>
        </w:rPr>
        <w:t xml:space="preserve"> KPMG Luxembourg</w:t>
      </w:r>
      <w:r w:rsidR="00870603" w:rsidRPr="009802C3">
        <w:rPr>
          <w:rFonts w:eastAsia="Calibri"/>
          <w:color w:val="212121"/>
          <w:lang w:val="en-US"/>
        </w:rPr>
        <w:t>.</w:t>
      </w:r>
    </w:p>
    <w:p w14:paraId="7880146A" w14:textId="77777777" w:rsidR="004800CA" w:rsidRPr="009802C3" w:rsidRDefault="004800CA">
      <w:pPr>
        <w:rPr>
          <w:rFonts w:eastAsia="Calibri"/>
          <w:color w:val="212121"/>
          <w:lang w:val="en-US"/>
        </w:rPr>
      </w:pPr>
    </w:p>
    <w:p w14:paraId="1DBB19D3" w14:textId="2BD7B937" w:rsidR="00C5252E" w:rsidRPr="009802C3" w:rsidRDefault="004800CA">
      <w:pPr>
        <w:rPr>
          <w:rFonts w:eastAsia="Calibri"/>
          <w:color w:val="212121"/>
          <w:lang w:val="en-US"/>
        </w:rPr>
      </w:pPr>
      <w:r w:rsidRPr="009802C3">
        <w:rPr>
          <w:rFonts w:eastAsia="Calibri"/>
          <w:color w:val="212121"/>
          <w:lang w:val="en-US"/>
        </w:rPr>
        <w:t>“</w:t>
      </w:r>
      <w:r w:rsidR="00870603" w:rsidRPr="009802C3">
        <w:rPr>
          <w:rFonts w:eastAsia="Calibri"/>
          <w:color w:val="212121"/>
          <w:lang w:val="en-US"/>
        </w:rPr>
        <w:t>A multi-year focus on technology, outsourcing and cost control has paid off – for the bottom line</w:t>
      </w:r>
      <w:r w:rsidRPr="009802C3">
        <w:rPr>
          <w:rFonts w:eastAsia="Calibri"/>
          <w:color w:val="212121"/>
          <w:lang w:val="en-US"/>
        </w:rPr>
        <w:t>,</w:t>
      </w:r>
      <w:r w:rsidR="00870603" w:rsidRPr="009802C3">
        <w:rPr>
          <w:rFonts w:eastAsia="Calibri"/>
          <w:color w:val="212121"/>
          <w:lang w:val="en-US"/>
        </w:rPr>
        <w:t xml:space="preserve"> and for clients who want a fully integrated face-to-face and digital service.</w:t>
      </w:r>
      <w:r w:rsidR="0074567A" w:rsidRPr="009802C3">
        <w:rPr>
          <w:rFonts w:eastAsia="Calibri"/>
          <w:color w:val="212121"/>
          <w:lang w:val="en-US"/>
        </w:rPr>
        <w:t>”</w:t>
      </w:r>
    </w:p>
    <w:p w14:paraId="2385A648" w14:textId="77777777" w:rsidR="00870603" w:rsidRPr="009802C3" w:rsidRDefault="00870603">
      <w:pPr>
        <w:rPr>
          <w:rFonts w:eastAsia="Calibri"/>
          <w:color w:val="212121"/>
          <w:lang w:val="en-US"/>
        </w:rPr>
      </w:pPr>
    </w:p>
    <w:p w14:paraId="67CB7B72" w14:textId="77777777" w:rsidR="00424B90" w:rsidRPr="009802C3" w:rsidRDefault="00424B90">
      <w:pPr>
        <w:rPr>
          <w:rFonts w:eastAsia="Calibri"/>
          <w:color w:val="212121"/>
          <w:lang w:val="en-US"/>
        </w:rPr>
      </w:pPr>
    </w:p>
    <w:tbl>
      <w:tblPr>
        <w:tblStyle w:val="a"/>
        <w:tblW w:w="902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8"/>
        <w:gridCol w:w="3009"/>
        <w:gridCol w:w="3009"/>
      </w:tblGrid>
      <w:tr w:rsidR="00424B90" w:rsidRPr="00880845" w14:paraId="4CCBBAC7" w14:textId="77777777" w:rsidTr="009802C3">
        <w:trPr>
          <w:trHeight w:val="687"/>
        </w:trPr>
        <w:tc>
          <w:tcPr>
            <w:tcW w:w="3008" w:type="dxa"/>
            <w:shd w:val="clear" w:color="auto" w:fill="auto"/>
            <w:tcMar>
              <w:top w:w="100" w:type="dxa"/>
              <w:left w:w="100" w:type="dxa"/>
              <w:bottom w:w="100" w:type="dxa"/>
              <w:right w:w="100" w:type="dxa"/>
            </w:tcMar>
          </w:tcPr>
          <w:p w14:paraId="044BB4A9" w14:textId="77777777" w:rsidR="00424B90" w:rsidRPr="00880845" w:rsidRDefault="006D261F">
            <w:pPr>
              <w:widowControl w:val="0"/>
              <w:pBdr>
                <w:top w:val="nil"/>
                <w:left w:val="nil"/>
                <w:bottom w:val="nil"/>
                <w:right w:val="nil"/>
                <w:between w:val="nil"/>
              </w:pBdr>
              <w:spacing w:line="240" w:lineRule="auto"/>
              <w:jc w:val="center"/>
              <w:rPr>
                <w:rFonts w:eastAsia="Calibri"/>
                <w:b/>
                <w:color w:val="212121"/>
                <w:sz w:val="20"/>
                <w:szCs w:val="20"/>
                <w:lang w:val="en-US"/>
              </w:rPr>
            </w:pPr>
            <w:bookmarkStart w:id="0" w:name="_Hlk151632556"/>
            <w:r w:rsidRPr="00880845">
              <w:rPr>
                <w:rFonts w:eastAsia="Calibri"/>
                <w:b/>
                <w:color w:val="212121"/>
                <w:sz w:val="20"/>
                <w:szCs w:val="20"/>
                <w:lang w:val="en-US"/>
              </w:rPr>
              <w:t>ASSETS UNDER MANAGEMENT</w:t>
            </w:r>
          </w:p>
          <w:p w14:paraId="675E6E9D" w14:textId="77777777" w:rsidR="00424B90" w:rsidRPr="00880845" w:rsidRDefault="006D261F">
            <w:pPr>
              <w:widowControl w:val="0"/>
              <w:pBdr>
                <w:top w:val="nil"/>
                <w:left w:val="nil"/>
                <w:bottom w:val="nil"/>
                <w:right w:val="nil"/>
                <w:between w:val="nil"/>
              </w:pBdr>
              <w:spacing w:line="240" w:lineRule="auto"/>
              <w:jc w:val="center"/>
              <w:rPr>
                <w:rFonts w:eastAsia="Calibri"/>
                <w:b/>
                <w:color w:val="212121"/>
                <w:sz w:val="20"/>
                <w:szCs w:val="20"/>
                <w:lang w:val="en-US"/>
              </w:rPr>
            </w:pPr>
            <w:r w:rsidRPr="00880845">
              <w:rPr>
                <w:rFonts w:eastAsia="Calibri"/>
                <w:b/>
                <w:color w:val="212121"/>
                <w:sz w:val="20"/>
                <w:szCs w:val="20"/>
                <w:lang w:val="en-US"/>
              </w:rPr>
              <w:t>Flows positive</w:t>
            </w:r>
          </w:p>
        </w:tc>
        <w:tc>
          <w:tcPr>
            <w:tcW w:w="3008" w:type="dxa"/>
            <w:shd w:val="clear" w:color="auto" w:fill="auto"/>
            <w:tcMar>
              <w:top w:w="100" w:type="dxa"/>
              <w:left w:w="100" w:type="dxa"/>
              <w:bottom w:w="100" w:type="dxa"/>
              <w:right w:w="100" w:type="dxa"/>
            </w:tcMar>
          </w:tcPr>
          <w:p w14:paraId="2CC67838" w14:textId="77777777" w:rsidR="00424B90" w:rsidRPr="00880845" w:rsidRDefault="006D261F">
            <w:pPr>
              <w:widowControl w:val="0"/>
              <w:pBdr>
                <w:top w:val="nil"/>
                <w:left w:val="nil"/>
                <w:bottom w:val="nil"/>
                <w:right w:val="nil"/>
                <w:between w:val="nil"/>
              </w:pBdr>
              <w:spacing w:line="240" w:lineRule="auto"/>
              <w:jc w:val="center"/>
              <w:rPr>
                <w:rFonts w:eastAsia="Calibri"/>
                <w:b/>
                <w:color w:val="212121"/>
                <w:sz w:val="20"/>
                <w:szCs w:val="20"/>
                <w:lang w:val="en-US"/>
              </w:rPr>
            </w:pPr>
            <w:r w:rsidRPr="00880845">
              <w:rPr>
                <w:rFonts w:eastAsia="Calibri"/>
                <w:b/>
                <w:color w:val="212121"/>
                <w:sz w:val="20"/>
                <w:szCs w:val="20"/>
                <w:lang w:val="en-US"/>
              </w:rPr>
              <w:t>CONSOLIDATION</w:t>
            </w:r>
          </w:p>
          <w:p w14:paraId="54FEC77F" w14:textId="4B996408" w:rsidR="00424B90" w:rsidRPr="00880845" w:rsidRDefault="006D261F">
            <w:pPr>
              <w:widowControl w:val="0"/>
              <w:pBdr>
                <w:top w:val="nil"/>
                <w:left w:val="nil"/>
                <w:bottom w:val="nil"/>
                <w:right w:val="nil"/>
                <w:between w:val="nil"/>
              </w:pBdr>
              <w:spacing w:line="240" w:lineRule="auto"/>
              <w:jc w:val="center"/>
              <w:rPr>
                <w:rFonts w:eastAsia="Calibri"/>
                <w:b/>
                <w:color w:val="212121"/>
                <w:sz w:val="20"/>
                <w:szCs w:val="20"/>
                <w:lang w:val="en-US"/>
              </w:rPr>
            </w:pPr>
            <w:r w:rsidRPr="00880845">
              <w:rPr>
                <w:rFonts w:eastAsia="Calibri"/>
                <w:b/>
                <w:color w:val="212121"/>
                <w:sz w:val="20"/>
                <w:szCs w:val="20"/>
                <w:lang w:val="en-US"/>
              </w:rPr>
              <w:t>Booking cente</w:t>
            </w:r>
            <w:r w:rsidR="008A53D9" w:rsidRPr="00880845">
              <w:rPr>
                <w:rFonts w:eastAsia="Calibri"/>
                <w:b/>
                <w:color w:val="212121"/>
                <w:sz w:val="20"/>
                <w:szCs w:val="20"/>
                <w:lang w:val="en-US"/>
              </w:rPr>
              <w:t>r</w:t>
            </w:r>
            <w:r w:rsidRPr="00880845">
              <w:rPr>
                <w:rFonts w:eastAsia="Calibri"/>
                <w:b/>
                <w:color w:val="212121"/>
                <w:sz w:val="20"/>
                <w:szCs w:val="20"/>
                <w:lang w:val="en-US"/>
              </w:rPr>
              <w:t>s and Brexit</w:t>
            </w:r>
          </w:p>
        </w:tc>
        <w:tc>
          <w:tcPr>
            <w:tcW w:w="3008" w:type="dxa"/>
            <w:tcBorders>
              <w:bottom w:val="single" w:sz="4" w:space="0" w:color="auto"/>
            </w:tcBorders>
            <w:shd w:val="clear" w:color="auto" w:fill="auto"/>
            <w:tcMar>
              <w:top w:w="100" w:type="dxa"/>
              <w:left w:w="100" w:type="dxa"/>
              <w:bottom w:w="100" w:type="dxa"/>
              <w:right w:w="100" w:type="dxa"/>
            </w:tcMar>
          </w:tcPr>
          <w:p w14:paraId="4D383418" w14:textId="1640E39F" w:rsidR="00424B90" w:rsidRPr="00880845" w:rsidRDefault="006D261F">
            <w:pPr>
              <w:widowControl w:val="0"/>
              <w:pBdr>
                <w:top w:val="nil"/>
                <w:left w:val="nil"/>
                <w:bottom w:val="nil"/>
                <w:right w:val="nil"/>
                <w:between w:val="nil"/>
              </w:pBdr>
              <w:spacing w:line="240" w:lineRule="auto"/>
              <w:jc w:val="center"/>
              <w:rPr>
                <w:rFonts w:eastAsia="Calibri"/>
                <w:b/>
                <w:color w:val="212121"/>
                <w:sz w:val="20"/>
                <w:szCs w:val="20"/>
                <w:lang w:val="en-US"/>
              </w:rPr>
            </w:pPr>
            <w:r w:rsidRPr="00880845">
              <w:rPr>
                <w:rFonts w:eastAsia="Calibri"/>
                <w:b/>
                <w:color w:val="212121"/>
                <w:sz w:val="20"/>
                <w:szCs w:val="20"/>
                <w:lang w:val="en-US"/>
              </w:rPr>
              <w:t>COST</w:t>
            </w:r>
            <w:r w:rsidR="000A6AD9" w:rsidRPr="00880845">
              <w:rPr>
                <w:rFonts w:eastAsia="Calibri"/>
                <w:b/>
                <w:color w:val="212121"/>
                <w:sz w:val="20"/>
                <w:szCs w:val="20"/>
                <w:lang w:val="en-US"/>
              </w:rPr>
              <w:t>S UNDER</w:t>
            </w:r>
            <w:r w:rsidRPr="00880845">
              <w:rPr>
                <w:rFonts w:eastAsia="Calibri"/>
                <w:b/>
                <w:color w:val="212121"/>
                <w:sz w:val="20"/>
                <w:szCs w:val="20"/>
                <w:lang w:val="en-US"/>
              </w:rPr>
              <w:t xml:space="preserve"> CONTROL</w:t>
            </w:r>
          </w:p>
          <w:p w14:paraId="00335836" w14:textId="59260397" w:rsidR="00424B90" w:rsidRPr="00880845" w:rsidRDefault="000A6AD9">
            <w:pPr>
              <w:widowControl w:val="0"/>
              <w:pBdr>
                <w:top w:val="nil"/>
                <w:left w:val="nil"/>
                <w:bottom w:val="nil"/>
                <w:right w:val="nil"/>
                <w:between w:val="nil"/>
              </w:pBdr>
              <w:spacing w:line="240" w:lineRule="auto"/>
              <w:jc w:val="center"/>
              <w:rPr>
                <w:rFonts w:eastAsia="Calibri"/>
                <w:b/>
                <w:color w:val="212121"/>
                <w:sz w:val="20"/>
                <w:szCs w:val="20"/>
                <w:lang w:val="en-US"/>
              </w:rPr>
            </w:pPr>
            <w:r w:rsidRPr="00880845">
              <w:rPr>
                <w:rFonts w:eastAsia="Calibri"/>
                <w:b/>
                <w:color w:val="212121"/>
                <w:sz w:val="20"/>
                <w:szCs w:val="20"/>
                <w:lang w:val="en-US"/>
              </w:rPr>
              <w:t>Salaries</w:t>
            </w:r>
            <w:r w:rsidR="006D261F" w:rsidRPr="00880845">
              <w:rPr>
                <w:rFonts w:eastAsia="Calibri"/>
                <w:b/>
                <w:color w:val="212121"/>
                <w:sz w:val="20"/>
                <w:szCs w:val="20"/>
                <w:lang w:val="en-US"/>
              </w:rPr>
              <w:t>, data costs rise sharply</w:t>
            </w:r>
          </w:p>
        </w:tc>
      </w:tr>
      <w:tr w:rsidR="00424B90" w:rsidRPr="00880845" w14:paraId="53AEA708" w14:textId="77777777" w:rsidTr="009802C3">
        <w:trPr>
          <w:trHeight w:val="687"/>
        </w:trPr>
        <w:tc>
          <w:tcPr>
            <w:tcW w:w="3008" w:type="dxa"/>
            <w:shd w:val="clear" w:color="auto" w:fill="auto"/>
            <w:tcMar>
              <w:top w:w="100" w:type="dxa"/>
              <w:left w:w="100" w:type="dxa"/>
              <w:bottom w:w="100" w:type="dxa"/>
              <w:right w:w="100" w:type="dxa"/>
            </w:tcMar>
          </w:tcPr>
          <w:p w14:paraId="3EC92FBF" w14:textId="6B3E0468" w:rsidR="00424B90" w:rsidRPr="00880845" w:rsidRDefault="006D261F">
            <w:pPr>
              <w:widowControl w:val="0"/>
              <w:pBdr>
                <w:top w:val="nil"/>
                <w:left w:val="nil"/>
                <w:bottom w:val="nil"/>
                <w:right w:val="nil"/>
                <w:between w:val="nil"/>
              </w:pBdr>
              <w:spacing w:line="240" w:lineRule="auto"/>
              <w:jc w:val="center"/>
              <w:rPr>
                <w:rFonts w:eastAsia="Calibri"/>
                <w:b/>
                <w:color w:val="212121"/>
                <w:sz w:val="20"/>
                <w:szCs w:val="20"/>
                <w:lang w:val="en-US"/>
              </w:rPr>
            </w:pPr>
            <w:r w:rsidRPr="00880845">
              <w:rPr>
                <w:rFonts w:eastAsia="Calibri"/>
                <w:b/>
                <w:color w:val="212121"/>
                <w:sz w:val="20"/>
                <w:szCs w:val="20"/>
                <w:lang w:val="en-US"/>
              </w:rPr>
              <w:t>€585</w:t>
            </w:r>
            <w:r w:rsidR="00FA4EE8" w:rsidRPr="00880845">
              <w:rPr>
                <w:rFonts w:eastAsia="Calibri"/>
                <w:b/>
                <w:color w:val="212121"/>
                <w:sz w:val="20"/>
                <w:szCs w:val="20"/>
                <w:lang w:val="en-US"/>
              </w:rPr>
              <w:t xml:space="preserve"> </w:t>
            </w:r>
            <w:r w:rsidRPr="00880845">
              <w:rPr>
                <w:rFonts w:eastAsia="Calibri"/>
                <w:b/>
                <w:color w:val="212121"/>
                <w:sz w:val="20"/>
                <w:szCs w:val="20"/>
                <w:lang w:val="en-US"/>
              </w:rPr>
              <w:t>bn</w:t>
            </w:r>
          </w:p>
          <w:p w14:paraId="4739973D" w14:textId="77777777" w:rsidR="00424B90" w:rsidRPr="00880845" w:rsidRDefault="006D261F">
            <w:pPr>
              <w:widowControl w:val="0"/>
              <w:pBdr>
                <w:top w:val="nil"/>
                <w:left w:val="nil"/>
                <w:bottom w:val="nil"/>
                <w:right w:val="nil"/>
                <w:between w:val="nil"/>
              </w:pBdr>
              <w:spacing w:line="240" w:lineRule="auto"/>
              <w:jc w:val="center"/>
              <w:rPr>
                <w:rFonts w:eastAsia="Calibri"/>
                <w:color w:val="212121"/>
                <w:sz w:val="20"/>
                <w:szCs w:val="20"/>
                <w:lang w:val="en-US"/>
              </w:rPr>
            </w:pPr>
            <w:r w:rsidRPr="00880845">
              <w:rPr>
                <w:rFonts w:eastAsia="Calibri"/>
                <w:color w:val="212121"/>
                <w:sz w:val="20"/>
                <w:szCs w:val="20"/>
                <w:lang w:val="en-US"/>
              </w:rPr>
              <w:t>-2% y-o-y</w:t>
            </w:r>
          </w:p>
        </w:tc>
        <w:tc>
          <w:tcPr>
            <w:tcW w:w="3008" w:type="dxa"/>
            <w:tcBorders>
              <w:right w:val="single" w:sz="4" w:space="0" w:color="auto"/>
            </w:tcBorders>
            <w:shd w:val="clear" w:color="auto" w:fill="auto"/>
            <w:tcMar>
              <w:top w:w="100" w:type="dxa"/>
              <w:left w:w="100" w:type="dxa"/>
              <w:bottom w:w="100" w:type="dxa"/>
              <w:right w:w="100" w:type="dxa"/>
            </w:tcMar>
          </w:tcPr>
          <w:p w14:paraId="076BEBBC" w14:textId="77777777" w:rsidR="00424B90" w:rsidRPr="00880845" w:rsidRDefault="006D261F">
            <w:pPr>
              <w:widowControl w:val="0"/>
              <w:pBdr>
                <w:top w:val="nil"/>
                <w:left w:val="nil"/>
                <w:bottom w:val="nil"/>
                <w:right w:val="nil"/>
                <w:between w:val="nil"/>
              </w:pBdr>
              <w:spacing w:line="240" w:lineRule="auto"/>
              <w:jc w:val="center"/>
              <w:rPr>
                <w:rFonts w:eastAsia="Calibri"/>
                <w:b/>
                <w:color w:val="212121"/>
                <w:sz w:val="20"/>
                <w:szCs w:val="20"/>
                <w:lang w:val="en-US"/>
              </w:rPr>
            </w:pPr>
            <w:r w:rsidRPr="00880845">
              <w:rPr>
                <w:rFonts w:eastAsia="Calibri"/>
                <w:b/>
                <w:color w:val="212121"/>
                <w:sz w:val="20"/>
                <w:szCs w:val="20"/>
                <w:lang w:val="en-US"/>
              </w:rPr>
              <w:t xml:space="preserve">88.5% </w:t>
            </w:r>
          </w:p>
          <w:p w14:paraId="523F4657" w14:textId="5F85F3ED" w:rsidR="00424B90" w:rsidRPr="00880845" w:rsidRDefault="006D261F">
            <w:pPr>
              <w:widowControl w:val="0"/>
              <w:pBdr>
                <w:top w:val="nil"/>
                <w:left w:val="nil"/>
                <w:bottom w:val="nil"/>
                <w:right w:val="nil"/>
                <w:between w:val="nil"/>
              </w:pBdr>
              <w:spacing w:line="240" w:lineRule="auto"/>
              <w:jc w:val="center"/>
              <w:rPr>
                <w:rFonts w:eastAsia="Calibri"/>
                <w:color w:val="212121"/>
                <w:sz w:val="20"/>
                <w:szCs w:val="20"/>
                <w:lang w:val="en-US"/>
              </w:rPr>
            </w:pPr>
            <w:r w:rsidRPr="00880845">
              <w:rPr>
                <w:rFonts w:eastAsia="Calibri"/>
                <w:color w:val="212121"/>
                <w:sz w:val="20"/>
                <w:szCs w:val="20"/>
                <w:lang w:val="en-US"/>
              </w:rPr>
              <w:t xml:space="preserve">Assets booked in </w:t>
            </w:r>
            <w:proofErr w:type="gramStart"/>
            <w:r w:rsidR="000A6AD9" w:rsidRPr="00880845">
              <w:rPr>
                <w:rFonts w:eastAsia="Calibri"/>
                <w:color w:val="212121"/>
                <w:sz w:val="20"/>
                <w:szCs w:val="20"/>
                <w:lang w:val="en-US"/>
              </w:rPr>
              <w:t>Luxembourg</w:t>
            </w:r>
            <w:proofErr w:type="gramEnd"/>
          </w:p>
          <w:p w14:paraId="607A568A" w14:textId="77777777" w:rsidR="00424B90" w:rsidRPr="00880845" w:rsidRDefault="00424B90">
            <w:pPr>
              <w:widowControl w:val="0"/>
              <w:pBdr>
                <w:top w:val="nil"/>
                <w:left w:val="nil"/>
                <w:bottom w:val="nil"/>
                <w:right w:val="nil"/>
                <w:between w:val="nil"/>
              </w:pBdr>
              <w:spacing w:line="240" w:lineRule="auto"/>
              <w:jc w:val="center"/>
              <w:rPr>
                <w:rFonts w:eastAsia="Calibri"/>
                <w:color w:val="212121"/>
                <w:sz w:val="20"/>
                <w:szCs w:val="20"/>
                <w:lang w:val="en-US"/>
              </w:rPr>
            </w:pPr>
          </w:p>
        </w:tc>
        <w:tc>
          <w:tcPr>
            <w:tcW w:w="300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056CB4B" w14:textId="4D908914" w:rsidR="00424B90" w:rsidRPr="00880845" w:rsidRDefault="006D261F">
            <w:pPr>
              <w:widowControl w:val="0"/>
              <w:pBdr>
                <w:top w:val="nil"/>
                <w:left w:val="nil"/>
                <w:bottom w:val="nil"/>
                <w:right w:val="nil"/>
                <w:between w:val="nil"/>
              </w:pBdr>
              <w:spacing w:line="240" w:lineRule="auto"/>
              <w:rPr>
                <w:rFonts w:eastAsia="Calibri"/>
                <w:b/>
                <w:color w:val="212121"/>
                <w:sz w:val="20"/>
                <w:szCs w:val="20"/>
                <w:lang w:val="en-US"/>
              </w:rPr>
            </w:pPr>
            <w:r w:rsidRPr="00880845">
              <w:rPr>
                <w:rFonts w:eastAsia="Calibri"/>
                <w:color w:val="212121"/>
                <w:sz w:val="20"/>
                <w:szCs w:val="20"/>
                <w:lang w:val="en-US"/>
              </w:rPr>
              <w:t xml:space="preserve">Staff </w:t>
            </w:r>
            <w:proofErr w:type="gramStart"/>
            <w:r w:rsidRPr="00880845">
              <w:rPr>
                <w:rFonts w:eastAsia="Calibri"/>
                <w:color w:val="212121"/>
                <w:sz w:val="20"/>
                <w:szCs w:val="20"/>
                <w:lang w:val="en-US"/>
              </w:rPr>
              <w:t>expenses</w:t>
            </w:r>
            <w:proofErr w:type="gramEnd"/>
            <w:r w:rsidRPr="00880845">
              <w:rPr>
                <w:rFonts w:eastAsia="Calibri"/>
                <w:color w:val="212121"/>
                <w:sz w:val="20"/>
                <w:szCs w:val="20"/>
                <w:lang w:val="en-US"/>
              </w:rPr>
              <w:t xml:space="preserve">           </w:t>
            </w:r>
            <w:r w:rsidR="009802C3" w:rsidRPr="00880845">
              <w:rPr>
                <w:rFonts w:eastAsia="Calibri"/>
                <w:color w:val="212121"/>
                <w:sz w:val="20"/>
                <w:szCs w:val="20"/>
                <w:lang w:val="en-US"/>
              </w:rPr>
              <w:t xml:space="preserve">   </w:t>
            </w:r>
            <w:r w:rsidRPr="00880845">
              <w:rPr>
                <w:rFonts w:eastAsia="Calibri"/>
                <w:b/>
                <w:color w:val="212121"/>
                <w:sz w:val="20"/>
                <w:szCs w:val="20"/>
                <w:lang w:val="en-US"/>
              </w:rPr>
              <w:t>+</w:t>
            </w:r>
            <w:r w:rsidR="00880845" w:rsidRPr="00880845">
              <w:rPr>
                <w:rFonts w:eastAsia="Calibri"/>
                <w:b/>
                <w:color w:val="212121"/>
                <w:sz w:val="20"/>
                <w:szCs w:val="20"/>
                <w:lang w:val="en-US"/>
              </w:rPr>
              <w:t>8</w:t>
            </w:r>
            <w:r w:rsidRPr="00880845">
              <w:rPr>
                <w:rFonts w:eastAsia="Calibri"/>
                <w:b/>
                <w:color w:val="212121"/>
                <w:sz w:val="20"/>
                <w:szCs w:val="20"/>
                <w:lang w:val="en-US"/>
              </w:rPr>
              <w:t>%</w:t>
            </w:r>
          </w:p>
          <w:p w14:paraId="2CC1C9F3" w14:textId="32A3B62C" w:rsidR="00424B90" w:rsidRPr="00880845" w:rsidRDefault="009802C3">
            <w:pPr>
              <w:widowControl w:val="0"/>
              <w:pBdr>
                <w:top w:val="nil"/>
                <w:left w:val="nil"/>
                <w:bottom w:val="nil"/>
                <w:right w:val="nil"/>
                <w:between w:val="nil"/>
              </w:pBdr>
              <w:spacing w:line="240" w:lineRule="auto"/>
              <w:rPr>
                <w:rFonts w:eastAsia="Calibri"/>
                <w:b/>
                <w:color w:val="212121"/>
                <w:sz w:val="20"/>
                <w:szCs w:val="20"/>
                <w:lang w:val="en-US"/>
              </w:rPr>
            </w:pPr>
            <w:r w:rsidRPr="00880845">
              <w:rPr>
                <w:rFonts w:eastAsia="Calibri"/>
                <w:color w:val="212121"/>
                <w:sz w:val="20"/>
                <w:szCs w:val="20"/>
                <w:lang w:val="en-US"/>
              </w:rPr>
              <w:t>Market data cost</w:t>
            </w:r>
            <w:r w:rsidR="006D261F" w:rsidRPr="00880845">
              <w:rPr>
                <w:rFonts w:eastAsia="Calibri"/>
                <w:color w:val="212121"/>
                <w:sz w:val="20"/>
                <w:szCs w:val="20"/>
                <w:lang w:val="en-US"/>
              </w:rPr>
              <w:t xml:space="preserve"> </w:t>
            </w:r>
            <w:r w:rsidRPr="00880845">
              <w:rPr>
                <w:rFonts w:eastAsia="Calibri"/>
                <w:color w:val="212121"/>
                <w:sz w:val="20"/>
                <w:szCs w:val="20"/>
                <w:lang w:val="en-US"/>
              </w:rPr>
              <w:t xml:space="preserve">          </w:t>
            </w:r>
            <w:r w:rsidR="006D261F" w:rsidRPr="00880845">
              <w:rPr>
                <w:rFonts w:eastAsia="Calibri"/>
                <w:b/>
                <w:color w:val="212121"/>
                <w:sz w:val="20"/>
                <w:szCs w:val="20"/>
                <w:lang w:val="en-US"/>
              </w:rPr>
              <w:t>+</w:t>
            </w:r>
            <w:r w:rsidRPr="00880845">
              <w:rPr>
                <w:rFonts w:eastAsia="Calibri"/>
                <w:b/>
                <w:color w:val="212121"/>
                <w:sz w:val="20"/>
                <w:szCs w:val="20"/>
                <w:lang w:val="en-US"/>
              </w:rPr>
              <w:t>5</w:t>
            </w:r>
            <w:r w:rsidR="00880845" w:rsidRPr="00880845">
              <w:rPr>
                <w:rFonts w:eastAsia="Calibri"/>
                <w:b/>
                <w:color w:val="212121"/>
                <w:sz w:val="20"/>
                <w:szCs w:val="20"/>
                <w:lang w:val="en-US"/>
              </w:rPr>
              <w:t>0</w:t>
            </w:r>
            <w:r w:rsidR="006D261F" w:rsidRPr="00880845">
              <w:rPr>
                <w:rFonts w:eastAsia="Calibri"/>
                <w:b/>
                <w:color w:val="212121"/>
                <w:sz w:val="20"/>
                <w:szCs w:val="20"/>
                <w:lang w:val="en-US"/>
              </w:rPr>
              <w:t>%</w:t>
            </w:r>
          </w:p>
          <w:p w14:paraId="74EEDFDB" w14:textId="4B1FF5F3" w:rsidR="00424B90" w:rsidRPr="00880845" w:rsidRDefault="006D261F">
            <w:pPr>
              <w:widowControl w:val="0"/>
              <w:pBdr>
                <w:top w:val="nil"/>
                <w:left w:val="nil"/>
                <w:bottom w:val="nil"/>
                <w:right w:val="nil"/>
                <w:between w:val="nil"/>
              </w:pBdr>
              <w:spacing w:line="240" w:lineRule="auto"/>
              <w:rPr>
                <w:rFonts w:eastAsia="Calibri"/>
                <w:b/>
                <w:color w:val="212121"/>
                <w:sz w:val="20"/>
                <w:szCs w:val="20"/>
                <w:lang w:val="en-US"/>
              </w:rPr>
            </w:pPr>
            <w:r w:rsidRPr="00880845">
              <w:rPr>
                <w:rFonts w:eastAsia="Calibri"/>
                <w:color w:val="212121"/>
                <w:sz w:val="20"/>
                <w:szCs w:val="20"/>
                <w:lang w:val="en-US"/>
              </w:rPr>
              <w:t xml:space="preserve">Gross operating profit </w:t>
            </w:r>
            <w:r w:rsidRPr="00880845">
              <w:rPr>
                <w:rFonts w:eastAsia="Calibri"/>
                <w:b/>
                <w:color w:val="212121"/>
                <w:sz w:val="20"/>
                <w:szCs w:val="20"/>
                <w:lang w:val="en-US"/>
              </w:rPr>
              <w:t xml:space="preserve"> </w:t>
            </w:r>
            <w:r w:rsidR="00880845">
              <w:rPr>
                <w:rFonts w:eastAsia="Calibri"/>
                <w:b/>
                <w:color w:val="212121"/>
                <w:sz w:val="20"/>
                <w:szCs w:val="20"/>
                <w:lang w:val="en-US"/>
              </w:rPr>
              <w:t xml:space="preserve"> +27.9%</w:t>
            </w:r>
            <w:r w:rsidRPr="00880845">
              <w:rPr>
                <w:rFonts w:eastAsia="Calibri"/>
                <w:b/>
                <w:color w:val="212121"/>
                <w:sz w:val="20"/>
                <w:szCs w:val="20"/>
                <w:lang w:val="en-US"/>
              </w:rPr>
              <w:t xml:space="preserve">            </w:t>
            </w:r>
            <w:r w:rsidR="009802C3" w:rsidRPr="00880845">
              <w:rPr>
                <w:rFonts w:eastAsia="Calibri"/>
                <w:b/>
                <w:color w:val="212121"/>
                <w:sz w:val="20"/>
                <w:szCs w:val="20"/>
                <w:lang w:val="en-US"/>
              </w:rPr>
              <w:t xml:space="preserve">              </w:t>
            </w:r>
          </w:p>
          <w:p w14:paraId="0B0ED92F" w14:textId="77777777" w:rsidR="00424B90" w:rsidRPr="00880845" w:rsidRDefault="00424B90">
            <w:pPr>
              <w:widowControl w:val="0"/>
              <w:pBdr>
                <w:top w:val="nil"/>
                <w:left w:val="nil"/>
                <w:bottom w:val="nil"/>
                <w:right w:val="nil"/>
                <w:between w:val="nil"/>
              </w:pBdr>
              <w:spacing w:line="240" w:lineRule="auto"/>
              <w:rPr>
                <w:rFonts w:eastAsia="Calibri"/>
                <w:color w:val="212121"/>
                <w:sz w:val="20"/>
                <w:szCs w:val="20"/>
                <w:lang w:val="en-US"/>
              </w:rPr>
            </w:pPr>
          </w:p>
        </w:tc>
      </w:tr>
      <w:tr w:rsidR="00424B90" w:rsidRPr="00880845" w14:paraId="174E781C" w14:textId="77777777" w:rsidTr="009802C3">
        <w:tc>
          <w:tcPr>
            <w:tcW w:w="3008" w:type="dxa"/>
            <w:shd w:val="clear" w:color="auto" w:fill="auto"/>
            <w:tcMar>
              <w:top w:w="100" w:type="dxa"/>
              <w:left w:w="100" w:type="dxa"/>
              <w:bottom w:w="100" w:type="dxa"/>
              <w:right w:w="100" w:type="dxa"/>
            </w:tcMar>
          </w:tcPr>
          <w:p w14:paraId="6E4AB844" w14:textId="2C1899DF" w:rsidR="00424B90" w:rsidRPr="00880845" w:rsidRDefault="006D261F">
            <w:pPr>
              <w:widowControl w:val="0"/>
              <w:pBdr>
                <w:top w:val="nil"/>
                <w:left w:val="nil"/>
                <w:bottom w:val="nil"/>
                <w:right w:val="nil"/>
                <w:between w:val="nil"/>
              </w:pBdr>
              <w:spacing w:line="240" w:lineRule="auto"/>
              <w:rPr>
                <w:rFonts w:eastAsia="Calibri"/>
                <w:color w:val="212121"/>
                <w:sz w:val="20"/>
                <w:szCs w:val="20"/>
                <w:lang w:val="en-US"/>
              </w:rPr>
            </w:pPr>
            <w:r w:rsidRPr="00880845">
              <w:rPr>
                <w:rFonts w:eastAsia="Calibri"/>
                <w:color w:val="212121"/>
                <w:sz w:val="20"/>
                <w:szCs w:val="20"/>
                <w:lang w:val="en-US"/>
              </w:rPr>
              <w:t xml:space="preserve">Market </w:t>
            </w:r>
            <w:r w:rsidR="000A6AD9" w:rsidRPr="00880845">
              <w:rPr>
                <w:rFonts w:eastAsia="Calibri"/>
                <w:color w:val="212121"/>
                <w:sz w:val="20"/>
                <w:szCs w:val="20"/>
                <w:lang w:val="en-US"/>
              </w:rPr>
              <w:t>movements</w:t>
            </w:r>
            <w:r w:rsidRPr="00880845">
              <w:rPr>
                <w:rFonts w:eastAsia="Calibri"/>
                <w:color w:val="212121"/>
                <w:sz w:val="20"/>
                <w:szCs w:val="20"/>
                <w:lang w:val="en-US"/>
              </w:rPr>
              <w:t xml:space="preserve">     -8%</w:t>
            </w:r>
          </w:p>
          <w:p w14:paraId="438C0B27" w14:textId="5351B6A3" w:rsidR="00424B90" w:rsidRPr="00880845" w:rsidRDefault="006D261F">
            <w:pPr>
              <w:widowControl w:val="0"/>
              <w:pBdr>
                <w:top w:val="nil"/>
                <w:left w:val="nil"/>
                <w:bottom w:val="nil"/>
                <w:right w:val="nil"/>
                <w:between w:val="nil"/>
              </w:pBdr>
              <w:spacing w:line="240" w:lineRule="auto"/>
              <w:rPr>
                <w:rFonts w:eastAsia="Calibri"/>
                <w:color w:val="212121"/>
                <w:sz w:val="20"/>
                <w:szCs w:val="20"/>
                <w:lang w:val="en-US"/>
              </w:rPr>
            </w:pPr>
            <w:r w:rsidRPr="00880845">
              <w:rPr>
                <w:rFonts w:eastAsia="Calibri"/>
                <w:color w:val="212121"/>
                <w:sz w:val="20"/>
                <w:szCs w:val="20"/>
                <w:lang w:val="en-US"/>
              </w:rPr>
              <w:t xml:space="preserve">Net inflows  </w:t>
            </w:r>
            <w:r w:rsidR="000A6AD9" w:rsidRPr="00880845">
              <w:rPr>
                <w:rFonts w:eastAsia="Calibri"/>
                <w:color w:val="212121"/>
                <w:sz w:val="20"/>
                <w:szCs w:val="20"/>
                <w:lang w:val="en-US"/>
              </w:rPr>
              <w:t xml:space="preserve">                </w:t>
            </w:r>
            <w:r w:rsidRPr="00880845">
              <w:rPr>
                <w:rFonts w:eastAsia="Calibri"/>
                <w:color w:val="212121"/>
                <w:sz w:val="20"/>
                <w:szCs w:val="20"/>
                <w:lang w:val="en-US"/>
              </w:rPr>
              <w:t>+5%</w:t>
            </w:r>
          </w:p>
        </w:tc>
        <w:tc>
          <w:tcPr>
            <w:tcW w:w="3008" w:type="dxa"/>
            <w:shd w:val="clear" w:color="auto" w:fill="auto"/>
            <w:tcMar>
              <w:top w:w="100" w:type="dxa"/>
              <w:left w:w="100" w:type="dxa"/>
              <w:bottom w:w="100" w:type="dxa"/>
              <w:right w:w="100" w:type="dxa"/>
            </w:tcMar>
          </w:tcPr>
          <w:p w14:paraId="6E94BA25" w14:textId="33667638" w:rsidR="00424B90" w:rsidRPr="00880845" w:rsidRDefault="006D261F">
            <w:pPr>
              <w:widowControl w:val="0"/>
              <w:spacing w:line="240" w:lineRule="auto"/>
              <w:rPr>
                <w:rFonts w:eastAsia="Calibri"/>
                <w:color w:val="212121"/>
                <w:sz w:val="20"/>
                <w:szCs w:val="20"/>
                <w:lang w:val="en-US"/>
              </w:rPr>
            </w:pPr>
            <w:r w:rsidRPr="00880845">
              <w:rPr>
                <w:rFonts w:eastAsia="Calibri"/>
                <w:color w:val="212121"/>
                <w:sz w:val="20"/>
                <w:szCs w:val="20"/>
                <w:lang w:val="en-US"/>
              </w:rPr>
              <w:t>Brexit effect, M&amp;A and tech</w:t>
            </w:r>
            <w:r w:rsidR="000A6AD9" w:rsidRPr="00880845">
              <w:rPr>
                <w:rFonts w:eastAsia="Calibri"/>
                <w:color w:val="212121"/>
                <w:sz w:val="20"/>
                <w:szCs w:val="20"/>
                <w:lang w:val="en-US"/>
              </w:rPr>
              <w:t>nology</w:t>
            </w:r>
            <w:r w:rsidRPr="00880845">
              <w:rPr>
                <w:rFonts w:eastAsia="Calibri"/>
                <w:color w:val="212121"/>
                <w:sz w:val="20"/>
                <w:szCs w:val="20"/>
                <w:lang w:val="en-US"/>
              </w:rPr>
              <w:t xml:space="preserve"> driving structural consolidation</w:t>
            </w:r>
          </w:p>
        </w:tc>
        <w:tc>
          <w:tcPr>
            <w:tcW w:w="3008" w:type="dxa"/>
            <w:tcBorders>
              <w:top w:val="single" w:sz="4" w:space="0" w:color="auto"/>
            </w:tcBorders>
            <w:shd w:val="clear" w:color="auto" w:fill="auto"/>
            <w:tcMar>
              <w:top w:w="100" w:type="dxa"/>
              <w:left w:w="100" w:type="dxa"/>
              <w:bottom w:w="100" w:type="dxa"/>
              <w:right w:w="100" w:type="dxa"/>
            </w:tcMar>
          </w:tcPr>
          <w:p w14:paraId="5AB61B9F" w14:textId="0826BEFD" w:rsidR="00424B90" w:rsidRPr="00880845" w:rsidRDefault="006D261F">
            <w:pPr>
              <w:widowControl w:val="0"/>
              <w:pBdr>
                <w:top w:val="nil"/>
                <w:left w:val="nil"/>
                <w:bottom w:val="nil"/>
                <w:right w:val="nil"/>
                <w:between w:val="nil"/>
              </w:pBdr>
              <w:spacing w:line="240" w:lineRule="auto"/>
              <w:rPr>
                <w:rFonts w:eastAsia="Calibri"/>
                <w:color w:val="212121"/>
                <w:sz w:val="20"/>
                <w:szCs w:val="20"/>
                <w:lang w:val="en-US"/>
              </w:rPr>
            </w:pPr>
            <w:r w:rsidRPr="00880845">
              <w:rPr>
                <w:rFonts w:eastAsia="Calibri"/>
                <w:color w:val="212121"/>
                <w:sz w:val="20"/>
                <w:szCs w:val="20"/>
                <w:lang w:val="en-US"/>
              </w:rPr>
              <w:t xml:space="preserve">Despite </w:t>
            </w:r>
            <w:r w:rsidR="000A6AD9" w:rsidRPr="00880845">
              <w:rPr>
                <w:rFonts w:eastAsia="Calibri"/>
                <w:color w:val="212121"/>
                <w:sz w:val="20"/>
                <w:szCs w:val="20"/>
                <w:lang w:val="en-US"/>
              </w:rPr>
              <w:t>rising costs</w:t>
            </w:r>
            <w:r w:rsidRPr="00880845">
              <w:rPr>
                <w:rFonts w:eastAsia="Calibri"/>
                <w:color w:val="212121"/>
                <w:sz w:val="20"/>
                <w:szCs w:val="20"/>
                <w:lang w:val="en-US"/>
              </w:rPr>
              <w:t xml:space="preserve">, </w:t>
            </w:r>
            <w:r w:rsidR="000A6AD9" w:rsidRPr="00880845">
              <w:rPr>
                <w:rFonts w:eastAsia="Calibri"/>
                <w:color w:val="212121"/>
                <w:sz w:val="20"/>
                <w:szCs w:val="20"/>
                <w:lang w:val="en-US"/>
              </w:rPr>
              <w:t xml:space="preserve">average </w:t>
            </w:r>
            <w:r w:rsidRPr="00880845">
              <w:rPr>
                <w:rFonts w:eastAsia="Calibri"/>
                <w:color w:val="212121"/>
                <w:sz w:val="20"/>
                <w:szCs w:val="20"/>
                <w:lang w:val="en-US"/>
              </w:rPr>
              <w:t>cost</w:t>
            </w:r>
            <w:r w:rsidR="000A6AD9" w:rsidRPr="00880845">
              <w:rPr>
                <w:rFonts w:eastAsia="Calibri"/>
                <w:color w:val="212121"/>
                <w:sz w:val="20"/>
                <w:szCs w:val="20"/>
                <w:lang w:val="en-US"/>
              </w:rPr>
              <w:t>-</w:t>
            </w:r>
            <w:r w:rsidRPr="00880845">
              <w:rPr>
                <w:rFonts w:eastAsia="Calibri"/>
                <w:color w:val="212121"/>
                <w:sz w:val="20"/>
                <w:szCs w:val="20"/>
                <w:lang w:val="en-US"/>
              </w:rPr>
              <w:t>income ratio dropped to 70%</w:t>
            </w:r>
          </w:p>
        </w:tc>
      </w:tr>
      <w:bookmarkEnd w:id="0"/>
    </w:tbl>
    <w:p w14:paraId="34D74259" w14:textId="77777777" w:rsidR="00424B90" w:rsidRPr="009802C3" w:rsidRDefault="00424B90">
      <w:pPr>
        <w:rPr>
          <w:rFonts w:eastAsia="Calibri"/>
          <w:color w:val="212121"/>
          <w:lang w:val="en-US"/>
        </w:rPr>
      </w:pPr>
    </w:p>
    <w:p w14:paraId="41192E71" w14:textId="7A9C3EF3" w:rsidR="00424B90" w:rsidRPr="009802C3" w:rsidRDefault="00870603">
      <w:pPr>
        <w:rPr>
          <w:rFonts w:eastAsia="Calibri"/>
          <w:b/>
          <w:color w:val="212121"/>
          <w:sz w:val="24"/>
          <w:szCs w:val="24"/>
          <w:lang w:val="en-US"/>
        </w:rPr>
      </w:pPr>
      <w:r w:rsidRPr="009802C3">
        <w:rPr>
          <w:rFonts w:eastAsia="Calibri"/>
          <w:b/>
          <w:color w:val="212121"/>
          <w:sz w:val="24"/>
          <w:szCs w:val="24"/>
          <w:lang w:val="en-US"/>
        </w:rPr>
        <w:t>Consolidating Luxembourg’s lead</w:t>
      </w:r>
    </w:p>
    <w:p w14:paraId="03B40C03" w14:textId="77777777" w:rsidR="00F45865" w:rsidRPr="009802C3" w:rsidRDefault="00F45865">
      <w:pPr>
        <w:rPr>
          <w:rFonts w:eastAsia="Calibri"/>
          <w:color w:val="212121"/>
          <w:lang w:val="en-US"/>
        </w:rPr>
      </w:pPr>
    </w:p>
    <w:p w14:paraId="2E21A6CD" w14:textId="77777777" w:rsidR="00F45865" w:rsidRPr="009802C3" w:rsidRDefault="00F45865" w:rsidP="00967CB8">
      <w:pPr>
        <w:rPr>
          <w:rFonts w:eastAsia="Calibri"/>
          <w:color w:val="212121"/>
          <w:lang w:val="en-US"/>
        </w:rPr>
      </w:pPr>
      <w:r w:rsidRPr="009802C3">
        <w:rPr>
          <w:rFonts w:eastAsia="Calibri"/>
          <w:color w:val="212121"/>
          <w:lang w:val="en-US"/>
        </w:rPr>
        <w:t xml:space="preserve">Jerry </w:t>
      </w:r>
      <w:proofErr w:type="spellStart"/>
      <w:r w:rsidRPr="009802C3">
        <w:rPr>
          <w:rFonts w:eastAsia="Calibri"/>
          <w:color w:val="212121"/>
          <w:lang w:val="en-US"/>
        </w:rPr>
        <w:t>Grbic</w:t>
      </w:r>
      <w:proofErr w:type="spellEnd"/>
      <w:r w:rsidRPr="009802C3">
        <w:rPr>
          <w:rFonts w:eastAsia="Calibri"/>
          <w:color w:val="212121"/>
          <w:lang w:val="en-US"/>
        </w:rPr>
        <w:t xml:space="preserve">, ABBL's CEO stresses: "The European banking sector plays a strategic role in ensuring Europe's competitiveness, growth and independence. In its core, Luxembourg's private banks play a decisive role, protecting and growing the assets of thousands of European families and entrepreneurs and </w:t>
      </w:r>
      <w:proofErr w:type="spellStart"/>
      <w:r w:rsidRPr="009802C3">
        <w:rPr>
          <w:rFonts w:eastAsia="Calibri"/>
          <w:color w:val="212121"/>
          <w:lang w:val="en-US"/>
        </w:rPr>
        <w:t>channelling</w:t>
      </w:r>
      <w:proofErr w:type="spellEnd"/>
      <w:r w:rsidRPr="009802C3">
        <w:rPr>
          <w:rFonts w:eastAsia="Calibri"/>
          <w:color w:val="212121"/>
          <w:lang w:val="en-US"/>
        </w:rPr>
        <w:t xml:space="preserve"> flows of private funds available to finance our economies. To enable our members to play this role to the full, it is vital to maintain a level playing field in terms of both regulation and taxation across the EU. Completing this single capital market and removing all de jure and de facto barriers is therefore at the heart of the ABBL's advocacy work".</w:t>
      </w:r>
    </w:p>
    <w:p w14:paraId="2B22B524" w14:textId="77777777" w:rsidR="00F45865" w:rsidRPr="009802C3" w:rsidRDefault="00F45865">
      <w:pPr>
        <w:rPr>
          <w:rFonts w:eastAsia="Calibri"/>
          <w:color w:val="212121"/>
        </w:rPr>
      </w:pPr>
    </w:p>
    <w:p w14:paraId="5D4A72D4" w14:textId="5F5723DD" w:rsidR="00870603" w:rsidRPr="009802C3" w:rsidRDefault="00F45865">
      <w:pPr>
        <w:rPr>
          <w:rFonts w:eastAsia="Calibri"/>
          <w:color w:val="212121"/>
          <w:lang w:val="en-US"/>
        </w:rPr>
      </w:pPr>
      <w:r w:rsidRPr="009802C3">
        <w:rPr>
          <w:rFonts w:eastAsia="Calibri"/>
          <w:color w:val="212121"/>
          <w:lang w:val="en-US"/>
        </w:rPr>
        <w:t xml:space="preserve">Even though 2022 was a successful year for Luxembourg's private banks, </w:t>
      </w:r>
      <w:r w:rsidR="00A53F60" w:rsidRPr="009802C3">
        <w:rPr>
          <w:rFonts w:eastAsia="Calibri"/>
          <w:color w:val="212121"/>
          <w:lang w:val="en-US"/>
        </w:rPr>
        <w:t xml:space="preserve">there </w:t>
      </w:r>
      <w:r w:rsidR="004800CA" w:rsidRPr="009802C3">
        <w:rPr>
          <w:rFonts w:eastAsia="Calibri"/>
          <w:color w:val="212121"/>
          <w:lang w:val="en-US"/>
        </w:rPr>
        <w:t>is</w:t>
      </w:r>
      <w:r w:rsidR="00A53F60" w:rsidRPr="009802C3">
        <w:rPr>
          <w:rFonts w:eastAsia="Calibri"/>
          <w:color w:val="212121"/>
          <w:lang w:val="en-US"/>
        </w:rPr>
        <w:t xml:space="preserve"> no room for complacency</w:t>
      </w:r>
      <w:r w:rsidR="004800CA" w:rsidRPr="009802C3">
        <w:rPr>
          <w:rFonts w:eastAsia="Calibri"/>
          <w:color w:val="212121"/>
          <w:lang w:val="en-US"/>
        </w:rPr>
        <w:t>, with</w:t>
      </w:r>
      <w:r w:rsidR="00A53F60" w:rsidRPr="009802C3">
        <w:rPr>
          <w:rFonts w:eastAsia="Calibri"/>
          <w:color w:val="212121"/>
          <w:lang w:val="en-US"/>
        </w:rPr>
        <w:t xml:space="preserve"> t</w:t>
      </w:r>
      <w:r w:rsidR="00870603" w:rsidRPr="009802C3">
        <w:rPr>
          <w:rFonts w:eastAsia="Calibri"/>
          <w:color w:val="212121"/>
          <w:lang w:val="en-US"/>
        </w:rPr>
        <w:t>he sector evolving fast. Mergers and acquisitions continue at pace as universal banks streamline their operations</w:t>
      </w:r>
      <w:r w:rsidR="00152B8A" w:rsidRPr="009802C3">
        <w:rPr>
          <w:rFonts w:eastAsia="Calibri"/>
          <w:color w:val="212121"/>
          <w:lang w:val="en-US"/>
        </w:rPr>
        <w:t xml:space="preserve"> and</w:t>
      </w:r>
      <w:r w:rsidR="00870603" w:rsidRPr="009802C3">
        <w:rPr>
          <w:rFonts w:eastAsia="Calibri"/>
          <w:color w:val="212121"/>
          <w:lang w:val="en-US"/>
        </w:rPr>
        <w:t xml:space="preserve"> re-book</w:t>
      </w:r>
      <w:r w:rsidR="00152B8A" w:rsidRPr="009802C3">
        <w:rPr>
          <w:rFonts w:eastAsia="Calibri"/>
          <w:color w:val="212121"/>
          <w:lang w:val="en-US"/>
        </w:rPr>
        <w:t xml:space="preserve"> </w:t>
      </w:r>
      <w:r w:rsidR="00870603" w:rsidRPr="009802C3">
        <w:rPr>
          <w:rFonts w:eastAsia="Calibri"/>
          <w:color w:val="212121"/>
          <w:lang w:val="en-US"/>
        </w:rPr>
        <w:t xml:space="preserve">client assets </w:t>
      </w:r>
      <w:r w:rsidR="004800CA" w:rsidRPr="009802C3">
        <w:rPr>
          <w:rFonts w:eastAsia="Calibri"/>
          <w:color w:val="212121"/>
          <w:lang w:val="en-US"/>
        </w:rPr>
        <w:t>from</w:t>
      </w:r>
      <w:r w:rsidR="00870603" w:rsidRPr="009802C3">
        <w:rPr>
          <w:rFonts w:eastAsia="Calibri"/>
          <w:color w:val="212121"/>
          <w:lang w:val="en-US"/>
        </w:rPr>
        <w:t xml:space="preserve"> their European hubs in Luxembourg</w:t>
      </w:r>
      <w:r w:rsidR="00A53F60" w:rsidRPr="009802C3">
        <w:rPr>
          <w:rFonts w:eastAsia="Calibri"/>
          <w:color w:val="212121"/>
          <w:lang w:val="en-US"/>
        </w:rPr>
        <w:t xml:space="preserve"> – an effect </w:t>
      </w:r>
      <w:r w:rsidR="004800CA" w:rsidRPr="009802C3">
        <w:rPr>
          <w:rFonts w:eastAsia="Calibri"/>
          <w:color w:val="212121"/>
          <w:lang w:val="en-US"/>
        </w:rPr>
        <w:t>that has been amplified by the relocation of business to EU jurisdictions after</w:t>
      </w:r>
      <w:r w:rsidR="00A53F60" w:rsidRPr="009802C3">
        <w:rPr>
          <w:rFonts w:eastAsia="Calibri"/>
          <w:color w:val="212121"/>
          <w:lang w:val="en-US"/>
        </w:rPr>
        <w:t xml:space="preserve"> </w:t>
      </w:r>
      <w:r w:rsidR="00870603" w:rsidRPr="009802C3">
        <w:rPr>
          <w:rFonts w:eastAsia="Calibri"/>
          <w:color w:val="212121"/>
          <w:lang w:val="en-US"/>
        </w:rPr>
        <w:t>Brexit.</w:t>
      </w:r>
    </w:p>
    <w:p w14:paraId="681AE007" w14:textId="77777777" w:rsidR="00A53F60" w:rsidRPr="009802C3" w:rsidRDefault="00A53F60">
      <w:pPr>
        <w:rPr>
          <w:rFonts w:eastAsia="Calibri"/>
          <w:color w:val="212121"/>
          <w:lang w:val="en-US"/>
        </w:rPr>
      </w:pPr>
    </w:p>
    <w:p w14:paraId="35136046" w14:textId="2B4CD332" w:rsidR="00A53F60" w:rsidRPr="009802C3" w:rsidRDefault="0074567A">
      <w:pPr>
        <w:rPr>
          <w:rFonts w:eastAsia="Calibri"/>
          <w:color w:val="212121"/>
          <w:lang w:val="en-US"/>
        </w:rPr>
      </w:pPr>
      <w:r w:rsidRPr="009802C3">
        <w:rPr>
          <w:rFonts w:eastAsia="Calibri"/>
          <w:color w:val="212121"/>
          <w:lang w:val="en-US"/>
        </w:rPr>
        <w:t>Meanwhile, a</w:t>
      </w:r>
      <w:r w:rsidR="004800CA" w:rsidRPr="009802C3">
        <w:rPr>
          <w:rFonts w:eastAsia="Calibri"/>
          <w:color w:val="212121"/>
          <w:lang w:val="en-US"/>
        </w:rPr>
        <w:t>ll players have benefited from</w:t>
      </w:r>
      <w:r w:rsidR="00A53F60" w:rsidRPr="009802C3">
        <w:rPr>
          <w:rFonts w:eastAsia="Calibri"/>
          <w:color w:val="212121"/>
          <w:lang w:val="en-US"/>
        </w:rPr>
        <w:t xml:space="preserve"> technolog</w:t>
      </w:r>
      <w:r w:rsidR="004800CA" w:rsidRPr="009802C3">
        <w:rPr>
          <w:rFonts w:eastAsia="Calibri"/>
          <w:color w:val="212121"/>
          <w:lang w:val="en-US"/>
        </w:rPr>
        <w:t>ical advances</w:t>
      </w:r>
      <w:r w:rsidR="00A53F60" w:rsidRPr="009802C3">
        <w:rPr>
          <w:rFonts w:eastAsia="Calibri"/>
          <w:color w:val="212121"/>
          <w:lang w:val="en-US"/>
        </w:rPr>
        <w:t xml:space="preserve">. Automation and outsourcing have made </w:t>
      </w:r>
      <w:r w:rsidR="004800CA" w:rsidRPr="009802C3">
        <w:rPr>
          <w:rFonts w:eastAsia="Calibri"/>
          <w:color w:val="212121"/>
          <w:lang w:val="en-US"/>
        </w:rPr>
        <w:t xml:space="preserve">private </w:t>
      </w:r>
      <w:r w:rsidR="00A53F60" w:rsidRPr="009802C3">
        <w:rPr>
          <w:rFonts w:eastAsia="Calibri"/>
          <w:color w:val="212121"/>
          <w:lang w:val="en-US"/>
        </w:rPr>
        <w:t xml:space="preserve">banks more efficient, freeing </w:t>
      </w:r>
      <w:r w:rsidR="004800CA" w:rsidRPr="009802C3">
        <w:rPr>
          <w:rFonts w:eastAsia="Calibri"/>
          <w:color w:val="212121"/>
          <w:lang w:val="en-US"/>
        </w:rPr>
        <w:t xml:space="preserve">up </w:t>
      </w:r>
      <w:r w:rsidR="00A53F60" w:rsidRPr="009802C3">
        <w:rPr>
          <w:rFonts w:eastAsia="Calibri"/>
          <w:color w:val="212121"/>
          <w:lang w:val="en-US"/>
        </w:rPr>
        <w:t>front</w:t>
      </w:r>
      <w:r w:rsidR="004800CA" w:rsidRPr="009802C3">
        <w:rPr>
          <w:rFonts w:eastAsia="Calibri"/>
          <w:color w:val="212121"/>
          <w:lang w:val="en-US"/>
        </w:rPr>
        <w:t>-</w:t>
      </w:r>
      <w:r w:rsidR="00A53F60" w:rsidRPr="009802C3">
        <w:rPr>
          <w:rFonts w:eastAsia="Calibri"/>
          <w:color w:val="212121"/>
          <w:lang w:val="en-US"/>
        </w:rPr>
        <w:t xml:space="preserve">line and </w:t>
      </w:r>
      <w:r w:rsidR="004800CA" w:rsidRPr="009802C3">
        <w:rPr>
          <w:rFonts w:eastAsia="Calibri"/>
          <w:color w:val="212121"/>
          <w:lang w:val="en-US"/>
        </w:rPr>
        <w:t xml:space="preserve">other </w:t>
      </w:r>
      <w:r w:rsidR="00A53F60" w:rsidRPr="009802C3">
        <w:rPr>
          <w:rFonts w:eastAsia="Calibri"/>
          <w:color w:val="212121"/>
          <w:lang w:val="en-US"/>
        </w:rPr>
        <w:t>experienced staff to focus on clients</w:t>
      </w:r>
      <w:r w:rsidR="004800CA" w:rsidRPr="009802C3">
        <w:rPr>
          <w:rFonts w:eastAsia="Calibri"/>
          <w:color w:val="212121"/>
          <w:lang w:val="en-US"/>
        </w:rPr>
        <w:t xml:space="preserve"> rather than administration</w:t>
      </w:r>
      <w:r w:rsidR="00A53F60" w:rsidRPr="009802C3">
        <w:rPr>
          <w:rFonts w:eastAsia="Calibri"/>
          <w:color w:val="212121"/>
          <w:lang w:val="en-US"/>
        </w:rPr>
        <w:t>.</w:t>
      </w:r>
      <w:r w:rsidRPr="009802C3">
        <w:rPr>
          <w:rFonts w:eastAsia="Calibri"/>
          <w:color w:val="212121"/>
          <w:lang w:val="en-US"/>
        </w:rPr>
        <w:t xml:space="preserve"> As such, h</w:t>
      </w:r>
      <w:r w:rsidR="00A53F60" w:rsidRPr="009802C3">
        <w:rPr>
          <w:rFonts w:eastAsia="Calibri"/>
          <w:color w:val="212121"/>
          <w:lang w:val="en-US"/>
        </w:rPr>
        <w:t>ybrid models</w:t>
      </w:r>
      <w:r w:rsidR="004800CA" w:rsidRPr="009802C3">
        <w:rPr>
          <w:rFonts w:eastAsia="Calibri"/>
          <w:color w:val="212121"/>
          <w:lang w:val="en-US"/>
        </w:rPr>
        <w:t xml:space="preserve"> that combine</w:t>
      </w:r>
      <w:r w:rsidR="00A53F60" w:rsidRPr="009802C3">
        <w:rPr>
          <w:rFonts w:eastAsia="Calibri"/>
          <w:color w:val="212121"/>
          <w:lang w:val="en-US"/>
        </w:rPr>
        <w:t xml:space="preserve"> in-house </w:t>
      </w:r>
      <w:r w:rsidR="004800CA" w:rsidRPr="009802C3">
        <w:rPr>
          <w:rFonts w:eastAsia="Calibri"/>
          <w:color w:val="212121"/>
          <w:lang w:val="en-US"/>
        </w:rPr>
        <w:t xml:space="preserve">compliance </w:t>
      </w:r>
      <w:r w:rsidR="00A53F60" w:rsidRPr="009802C3">
        <w:rPr>
          <w:rFonts w:eastAsia="Calibri"/>
          <w:color w:val="212121"/>
          <w:lang w:val="en-US"/>
        </w:rPr>
        <w:t xml:space="preserve">specialists </w:t>
      </w:r>
      <w:r w:rsidR="004800CA" w:rsidRPr="009802C3">
        <w:rPr>
          <w:rFonts w:eastAsia="Calibri"/>
          <w:color w:val="212121"/>
          <w:lang w:val="en-US"/>
        </w:rPr>
        <w:t>with third-party providers of</w:t>
      </w:r>
      <w:r w:rsidR="00A53F60" w:rsidRPr="009802C3">
        <w:rPr>
          <w:rFonts w:eastAsia="Calibri"/>
          <w:color w:val="212121"/>
          <w:lang w:val="en-US"/>
        </w:rPr>
        <w:t xml:space="preserve"> other functions will remain a long-term </w:t>
      </w:r>
      <w:r w:rsidR="004800CA" w:rsidRPr="009802C3">
        <w:rPr>
          <w:rFonts w:eastAsia="Calibri"/>
          <w:color w:val="212121"/>
          <w:lang w:val="en-US"/>
        </w:rPr>
        <w:t>pattern</w:t>
      </w:r>
      <w:r w:rsidR="00A53F60" w:rsidRPr="009802C3">
        <w:rPr>
          <w:rFonts w:eastAsia="Calibri"/>
          <w:color w:val="212121"/>
          <w:lang w:val="en-US"/>
        </w:rPr>
        <w:t>.</w:t>
      </w:r>
    </w:p>
    <w:p w14:paraId="1197F219" w14:textId="77777777" w:rsidR="00870603" w:rsidRPr="009802C3" w:rsidRDefault="00870603">
      <w:pPr>
        <w:rPr>
          <w:rFonts w:eastAsia="Calibri"/>
          <w:color w:val="212121"/>
          <w:lang w:val="en-US"/>
        </w:rPr>
      </w:pPr>
    </w:p>
    <w:p w14:paraId="3D1983C7" w14:textId="754F098A" w:rsidR="00F30C1C" w:rsidRPr="009802C3" w:rsidRDefault="001F2833">
      <w:pPr>
        <w:rPr>
          <w:rFonts w:eastAsia="Calibri"/>
          <w:b/>
          <w:color w:val="212121"/>
          <w:sz w:val="24"/>
          <w:szCs w:val="24"/>
          <w:lang w:val="en-US"/>
        </w:rPr>
      </w:pPr>
      <w:r w:rsidRPr="009802C3">
        <w:rPr>
          <w:rFonts w:eastAsia="Calibri"/>
          <w:b/>
          <w:color w:val="212121"/>
          <w:sz w:val="24"/>
          <w:szCs w:val="24"/>
          <w:lang w:val="en-US"/>
        </w:rPr>
        <w:t xml:space="preserve">Sustainability </w:t>
      </w:r>
      <w:r w:rsidR="00BC1EB9" w:rsidRPr="009802C3">
        <w:rPr>
          <w:rFonts w:eastAsia="Calibri"/>
          <w:b/>
          <w:color w:val="212121"/>
          <w:sz w:val="24"/>
          <w:szCs w:val="24"/>
          <w:lang w:val="en-US"/>
        </w:rPr>
        <w:t xml:space="preserve">has a </w:t>
      </w:r>
      <w:proofErr w:type="gramStart"/>
      <w:r w:rsidR="00BC1EB9" w:rsidRPr="009802C3">
        <w:rPr>
          <w:rFonts w:eastAsia="Calibri"/>
          <w:b/>
          <w:color w:val="212121"/>
          <w:sz w:val="24"/>
          <w:szCs w:val="24"/>
          <w:lang w:val="en-US"/>
        </w:rPr>
        <w:t>price</w:t>
      </w:r>
      <w:proofErr w:type="gramEnd"/>
      <w:r w:rsidRPr="009802C3">
        <w:rPr>
          <w:rFonts w:eastAsia="Calibri"/>
          <w:b/>
          <w:color w:val="212121"/>
          <w:sz w:val="24"/>
          <w:szCs w:val="24"/>
          <w:lang w:val="en-US"/>
        </w:rPr>
        <w:t xml:space="preserve"> </w:t>
      </w:r>
    </w:p>
    <w:p w14:paraId="78C20EE9" w14:textId="61D54198" w:rsidR="00F30C1C" w:rsidRPr="009802C3" w:rsidRDefault="009935B2">
      <w:pPr>
        <w:rPr>
          <w:rFonts w:eastAsia="Calibri"/>
          <w:color w:val="212121"/>
          <w:lang w:val="en-US"/>
        </w:rPr>
      </w:pPr>
      <w:r w:rsidRPr="009802C3">
        <w:rPr>
          <w:rFonts w:eastAsia="Calibri"/>
          <w:color w:val="212121"/>
          <w:lang w:val="en-US"/>
        </w:rPr>
        <w:t>Another trend is increased r</w:t>
      </w:r>
      <w:r w:rsidR="00F30C1C" w:rsidRPr="009802C3">
        <w:rPr>
          <w:rFonts w:eastAsia="Calibri"/>
          <w:color w:val="212121"/>
          <w:lang w:val="en-US"/>
        </w:rPr>
        <w:t xml:space="preserve">egulatory </w:t>
      </w:r>
      <w:r w:rsidR="004800CA" w:rsidRPr="009802C3">
        <w:rPr>
          <w:rFonts w:eastAsia="Calibri"/>
          <w:color w:val="212121"/>
          <w:lang w:val="en-US"/>
        </w:rPr>
        <w:t>requirements, especially on transparency,</w:t>
      </w:r>
      <w:r w:rsidR="00F30C1C" w:rsidRPr="009802C3">
        <w:rPr>
          <w:rFonts w:eastAsia="Calibri"/>
          <w:color w:val="212121"/>
          <w:lang w:val="en-US"/>
        </w:rPr>
        <w:t xml:space="preserve"> and </w:t>
      </w:r>
      <w:r w:rsidR="004800CA" w:rsidRPr="009802C3">
        <w:rPr>
          <w:rFonts w:eastAsia="Calibri"/>
          <w:color w:val="212121"/>
          <w:lang w:val="en-US"/>
        </w:rPr>
        <w:t xml:space="preserve">growing </w:t>
      </w:r>
      <w:r w:rsidR="00F30C1C" w:rsidRPr="009802C3">
        <w:rPr>
          <w:rFonts w:eastAsia="Calibri"/>
          <w:color w:val="212121"/>
          <w:lang w:val="en-US"/>
        </w:rPr>
        <w:t>client preferences for green and sustainable investments</w:t>
      </w:r>
      <w:r w:rsidR="001F2833" w:rsidRPr="009802C3">
        <w:rPr>
          <w:rFonts w:eastAsia="Calibri"/>
          <w:color w:val="212121"/>
          <w:lang w:val="en-US"/>
        </w:rPr>
        <w:t xml:space="preserve">, which will </w:t>
      </w:r>
      <w:r w:rsidR="004800CA" w:rsidRPr="009802C3">
        <w:rPr>
          <w:rFonts w:eastAsia="Calibri"/>
          <w:color w:val="212121"/>
          <w:lang w:val="en-US"/>
        </w:rPr>
        <w:t xml:space="preserve">lead to </w:t>
      </w:r>
      <w:r w:rsidR="001F2833" w:rsidRPr="009802C3">
        <w:rPr>
          <w:rFonts w:eastAsia="Calibri"/>
          <w:color w:val="212121"/>
          <w:lang w:val="en-US"/>
        </w:rPr>
        <w:t>add</w:t>
      </w:r>
      <w:r w:rsidR="004800CA" w:rsidRPr="009802C3">
        <w:rPr>
          <w:rFonts w:eastAsia="Calibri"/>
          <w:color w:val="212121"/>
          <w:lang w:val="en-US"/>
        </w:rPr>
        <w:t xml:space="preserve">itional </w:t>
      </w:r>
      <w:r w:rsidR="001F2833" w:rsidRPr="009802C3">
        <w:rPr>
          <w:rFonts w:eastAsia="Calibri"/>
          <w:color w:val="212121"/>
          <w:lang w:val="en-US"/>
        </w:rPr>
        <w:t>costs</w:t>
      </w:r>
      <w:r w:rsidR="004800CA" w:rsidRPr="009802C3">
        <w:rPr>
          <w:rFonts w:eastAsia="Calibri"/>
          <w:color w:val="212121"/>
          <w:lang w:val="en-US"/>
        </w:rPr>
        <w:t xml:space="preserve"> – </w:t>
      </w:r>
      <w:proofErr w:type="gramStart"/>
      <w:r w:rsidR="004800CA" w:rsidRPr="009802C3">
        <w:rPr>
          <w:rFonts w:eastAsia="Calibri"/>
          <w:color w:val="212121"/>
          <w:lang w:val="en-US"/>
        </w:rPr>
        <w:t>especially</w:t>
      </w:r>
      <w:proofErr w:type="gramEnd"/>
      <w:r w:rsidR="004800CA" w:rsidRPr="009802C3">
        <w:rPr>
          <w:rFonts w:eastAsia="Calibri"/>
          <w:color w:val="212121"/>
          <w:lang w:val="en-US"/>
        </w:rPr>
        <w:t xml:space="preserve"> to collate and report e</w:t>
      </w:r>
      <w:r w:rsidR="00F30C1C" w:rsidRPr="009802C3">
        <w:rPr>
          <w:rFonts w:eastAsia="Calibri"/>
          <w:color w:val="212121"/>
          <w:lang w:val="en-US"/>
        </w:rPr>
        <w:t xml:space="preserve">nvironmental, </w:t>
      </w:r>
      <w:r w:rsidR="004800CA" w:rsidRPr="009802C3">
        <w:rPr>
          <w:rFonts w:eastAsia="Calibri"/>
          <w:color w:val="212121"/>
          <w:lang w:val="en-US"/>
        </w:rPr>
        <w:t>s</w:t>
      </w:r>
      <w:r w:rsidR="00F30C1C" w:rsidRPr="009802C3">
        <w:rPr>
          <w:rFonts w:eastAsia="Calibri"/>
          <w:color w:val="212121"/>
          <w:lang w:val="en-US"/>
        </w:rPr>
        <w:t xml:space="preserve">ocial </w:t>
      </w:r>
      <w:r w:rsidR="004800CA" w:rsidRPr="009802C3">
        <w:rPr>
          <w:rFonts w:eastAsia="Calibri"/>
          <w:color w:val="212121"/>
          <w:lang w:val="en-US"/>
        </w:rPr>
        <w:t xml:space="preserve">impact </w:t>
      </w:r>
      <w:r w:rsidR="00F30C1C" w:rsidRPr="009802C3">
        <w:rPr>
          <w:rFonts w:eastAsia="Calibri"/>
          <w:color w:val="212121"/>
          <w:lang w:val="en-US"/>
        </w:rPr>
        <w:t xml:space="preserve">and </w:t>
      </w:r>
      <w:r w:rsidR="004800CA" w:rsidRPr="009802C3">
        <w:rPr>
          <w:rFonts w:eastAsia="Calibri"/>
          <w:color w:val="212121"/>
          <w:lang w:val="en-US"/>
        </w:rPr>
        <w:t>g</w:t>
      </w:r>
      <w:r w:rsidR="00F30C1C" w:rsidRPr="009802C3">
        <w:rPr>
          <w:rFonts w:eastAsia="Calibri"/>
          <w:color w:val="212121"/>
          <w:lang w:val="en-US"/>
        </w:rPr>
        <w:t xml:space="preserve">overnance data. </w:t>
      </w:r>
    </w:p>
    <w:p w14:paraId="19382950" w14:textId="77777777" w:rsidR="00F30C1C" w:rsidRPr="009802C3" w:rsidRDefault="00F30C1C">
      <w:pPr>
        <w:rPr>
          <w:rFonts w:eastAsia="Calibri"/>
          <w:color w:val="212121"/>
          <w:lang w:val="en-US"/>
        </w:rPr>
      </w:pPr>
    </w:p>
    <w:p w14:paraId="0AC08D5B" w14:textId="679E86E7" w:rsidR="00F30C1C" w:rsidRPr="009802C3" w:rsidRDefault="00F30C1C">
      <w:pPr>
        <w:rPr>
          <w:rFonts w:eastAsia="Calibri"/>
          <w:color w:val="212121"/>
          <w:lang w:val="en-US"/>
        </w:rPr>
      </w:pPr>
      <w:r w:rsidRPr="009802C3">
        <w:rPr>
          <w:rFonts w:eastAsia="Calibri"/>
          <w:color w:val="212121"/>
          <w:lang w:val="en-US"/>
        </w:rPr>
        <w:t xml:space="preserve">“Patchy data, concern about greenwashing, and the sheer speed at which new green investments are coming to market will be a major focus for cost, operational and compliance leaders in the years ahead,” </w:t>
      </w:r>
      <w:r w:rsidR="004800CA" w:rsidRPr="009802C3">
        <w:rPr>
          <w:rFonts w:eastAsia="Calibri"/>
          <w:color w:val="212121"/>
          <w:lang w:val="en-US"/>
        </w:rPr>
        <w:t>notes KPMG’s</w:t>
      </w:r>
      <w:r w:rsidRPr="009802C3">
        <w:rPr>
          <w:rFonts w:eastAsia="Calibri"/>
          <w:color w:val="212121"/>
          <w:lang w:val="en-US"/>
        </w:rPr>
        <w:t xml:space="preserve"> </w:t>
      </w:r>
      <w:r w:rsidR="006D261F" w:rsidRPr="009802C3">
        <w:rPr>
          <w:rFonts w:eastAsia="Calibri"/>
          <w:color w:val="212121"/>
          <w:lang w:val="en-US"/>
        </w:rPr>
        <w:t xml:space="preserve">Anne-Sophie </w:t>
      </w:r>
      <w:proofErr w:type="spellStart"/>
      <w:r w:rsidR="006D261F" w:rsidRPr="009802C3">
        <w:rPr>
          <w:rFonts w:eastAsia="Calibri"/>
          <w:color w:val="212121"/>
          <w:lang w:val="en-US"/>
        </w:rPr>
        <w:t>Minaldo</w:t>
      </w:r>
      <w:proofErr w:type="spellEnd"/>
      <w:r w:rsidRPr="009802C3">
        <w:rPr>
          <w:rFonts w:eastAsia="Calibri"/>
          <w:color w:val="212121"/>
          <w:lang w:val="en-US"/>
        </w:rPr>
        <w:t>.</w:t>
      </w:r>
    </w:p>
    <w:p w14:paraId="4A36F64E" w14:textId="77777777" w:rsidR="00DA546E" w:rsidRPr="009802C3" w:rsidRDefault="00DA546E">
      <w:pPr>
        <w:rPr>
          <w:rFonts w:eastAsia="Calibri"/>
          <w:color w:val="212121"/>
          <w:lang w:val="en-US"/>
        </w:rPr>
      </w:pPr>
    </w:p>
    <w:p w14:paraId="609F4FC0" w14:textId="66B27E52" w:rsidR="00424B90" w:rsidRPr="009802C3" w:rsidRDefault="00DA546E">
      <w:pPr>
        <w:rPr>
          <w:rFonts w:eastAsia="Calibri"/>
          <w:color w:val="212121"/>
          <w:lang w:val="en-US"/>
        </w:rPr>
      </w:pPr>
      <w:r w:rsidRPr="009802C3">
        <w:rPr>
          <w:rFonts w:eastAsia="Calibri"/>
          <w:color w:val="212121"/>
          <w:lang w:val="en-US"/>
        </w:rPr>
        <w:t xml:space="preserve">To get the full picture from our data </w:t>
      </w:r>
      <w:r w:rsidRPr="003C0B8F">
        <w:rPr>
          <w:rFonts w:eastAsia="Calibri"/>
          <w:color w:val="212121"/>
          <w:lang w:val="en-US"/>
        </w:rPr>
        <w:t>and insights, you can download the</w:t>
      </w:r>
      <w:r w:rsidR="00F30C1C" w:rsidRPr="003C0B8F">
        <w:rPr>
          <w:rFonts w:eastAsia="Calibri"/>
          <w:color w:val="212121"/>
          <w:lang w:val="en-US"/>
        </w:rPr>
        <w:t xml:space="preserve"> KPMG Luxembourg and </w:t>
      </w:r>
      <w:r w:rsidR="004800CA" w:rsidRPr="003C0B8F">
        <w:rPr>
          <w:rFonts w:eastAsia="Calibri"/>
          <w:color w:val="212121"/>
          <w:lang w:val="en-US"/>
        </w:rPr>
        <w:t xml:space="preserve">ABBL </w:t>
      </w:r>
      <w:r w:rsidR="00F30C1C" w:rsidRPr="003C0B8F">
        <w:rPr>
          <w:rFonts w:eastAsia="Calibri"/>
          <w:color w:val="212121"/>
          <w:lang w:val="en-US"/>
        </w:rPr>
        <w:t xml:space="preserve">Private Banking Cluster’s report </w:t>
      </w:r>
      <w:hyperlink r:id="rId9" w:history="1">
        <w:r w:rsidR="00F30C1C" w:rsidRPr="003C0B8F">
          <w:rPr>
            <w:rStyle w:val="Hyperlink"/>
            <w:rFonts w:eastAsia="Calibri"/>
            <w:lang w:val="en-US"/>
          </w:rPr>
          <w:t>HERE</w:t>
        </w:r>
      </w:hyperlink>
      <w:r w:rsidR="00F30C1C" w:rsidRPr="003C0B8F">
        <w:rPr>
          <w:rFonts w:eastAsia="Calibri"/>
          <w:color w:val="212121"/>
          <w:lang w:val="en-US"/>
        </w:rPr>
        <w:t>.</w:t>
      </w:r>
    </w:p>
    <w:p w14:paraId="5D9BC8D3" w14:textId="06C17E4E" w:rsidR="00F30C1C" w:rsidRPr="009802C3" w:rsidRDefault="00F30C1C">
      <w:pPr>
        <w:rPr>
          <w:rFonts w:eastAsia="Calibri"/>
          <w:color w:val="212121"/>
          <w:lang w:val="en-US"/>
        </w:rPr>
      </w:pPr>
    </w:p>
    <w:p w14:paraId="4817240B" w14:textId="77777777" w:rsidR="008F1D3F" w:rsidRPr="009802C3" w:rsidRDefault="008F1D3F">
      <w:pPr>
        <w:rPr>
          <w:rFonts w:eastAsia="Calibri"/>
          <w:color w:val="212121"/>
          <w:lang w:val="en-US"/>
        </w:rPr>
      </w:pPr>
    </w:p>
    <w:p w14:paraId="06AC1F7A" w14:textId="24C929A7" w:rsidR="00F30C1C" w:rsidRPr="009802C3" w:rsidRDefault="00F30C1C" w:rsidP="00152B8A">
      <w:pPr>
        <w:jc w:val="center"/>
        <w:rPr>
          <w:rFonts w:eastAsia="Calibri"/>
          <w:b/>
          <w:bCs/>
          <w:color w:val="212121"/>
          <w:lang w:val="en-US"/>
        </w:rPr>
      </w:pPr>
      <w:r w:rsidRPr="009802C3">
        <w:rPr>
          <w:rFonts w:eastAsia="Calibri"/>
          <w:b/>
          <w:bCs/>
          <w:color w:val="212121"/>
          <w:lang w:val="en-US"/>
        </w:rPr>
        <w:t>-</w:t>
      </w:r>
      <w:r w:rsidR="003C0B8F">
        <w:rPr>
          <w:rFonts w:eastAsia="Calibri"/>
          <w:b/>
          <w:bCs/>
          <w:color w:val="212121"/>
          <w:lang w:val="en-US"/>
        </w:rPr>
        <w:t xml:space="preserve"> </w:t>
      </w:r>
      <w:r w:rsidRPr="009802C3">
        <w:rPr>
          <w:rFonts w:eastAsia="Calibri"/>
          <w:b/>
          <w:bCs/>
          <w:color w:val="212121"/>
          <w:lang w:val="en-US"/>
        </w:rPr>
        <w:t>ENDS-</w:t>
      </w:r>
    </w:p>
    <w:p w14:paraId="199FF6FA" w14:textId="77777777" w:rsidR="00685431" w:rsidRPr="009802C3" w:rsidRDefault="00685431" w:rsidP="00152B8A">
      <w:pPr>
        <w:jc w:val="center"/>
        <w:rPr>
          <w:rFonts w:eastAsia="Calibri"/>
          <w:b/>
          <w:bCs/>
          <w:color w:val="212121"/>
          <w:lang w:val="en-US"/>
        </w:rPr>
      </w:pPr>
    </w:p>
    <w:p w14:paraId="5A8247CE" w14:textId="77777777" w:rsidR="00F30C1C" w:rsidRPr="009802C3" w:rsidRDefault="00F30C1C">
      <w:pPr>
        <w:rPr>
          <w:rFonts w:eastAsia="Calibri"/>
          <w:color w:val="212121"/>
          <w:lang w:val="en-US"/>
        </w:rPr>
      </w:pPr>
    </w:p>
    <w:p w14:paraId="011C676A" w14:textId="77777777" w:rsidR="00FB2CAF" w:rsidRPr="009802C3" w:rsidRDefault="00FB2CAF">
      <w:pPr>
        <w:rPr>
          <w:rFonts w:eastAsia="Calibri"/>
          <w:color w:val="212121"/>
          <w:lang w:val="en-US"/>
        </w:rPr>
      </w:pPr>
    </w:p>
    <w:p w14:paraId="4D68915E" w14:textId="1942650D" w:rsidR="008E133C" w:rsidRPr="00813501" w:rsidRDefault="00967CB8" w:rsidP="008F1D3F">
      <w:pPr>
        <w:pStyle w:val="Heading2"/>
        <w:rPr>
          <w:sz w:val="20"/>
          <w:szCs w:val="20"/>
          <w:u w:val="single"/>
          <w:lang w:val="en-US"/>
        </w:rPr>
      </w:pPr>
      <w:r w:rsidRPr="00813501">
        <w:rPr>
          <w:sz w:val="20"/>
          <w:szCs w:val="20"/>
          <w:u w:val="single"/>
          <w:lang w:val="en-US"/>
        </w:rPr>
        <w:t xml:space="preserve">About KPMG: </w:t>
      </w:r>
    </w:p>
    <w:p w14:paraId="55D0E087" w14:textId="77777777" w:rsidR="00967CB8" w:rsidRPr="009802C3" w:rsidRDefault="00967CB8" w:rsidP="008F1D3F">
      <w:pPr>
        <w:rPr>
          <w:sz w:val="16"/>
          <w:szCs w:val="16"/>
          <w:lang w:val="en-US"/>
        </w:rPr>
      </w:pPr>
      <w:r w:rsidRPr="009802C3">
        <w:rPr>
          <w:sz w:val="16"/>
          <w:szCs w:val="16"/>
          <w:lang w:val="en-US"/>
        </w:rPr>
        <w:t xml:space="preserve">As a member of KPMG International, a network of independent firms operating in 144 countries, KPMG in Luxembourg provides a full range of audit, </w:t>
      </w:r>
      <w:proofErr w:type="gramStart"/>
      <w:r w:rsidRPr="009802C3">
        <w:rPr>
          <w:sz w:val="16"/>
          <w:szCs w:val="16"/>
          <w:lang w:val="en-US"/>
        </w:rPr>
        <w:t>tax</w:t>
      </w:r>
      <w:proofErr w:type="gramEnd"/>
      <w:r w:rsidRPr="009802C3">
        <w:rPr>
          <w:sz w:val="16"/>
          <w:szCs w:val="16"/>
          <w:lang w:val="en-US"/>
        </w:rPr>
        <w:t xml:space="preserve"> and advisory services to major national and international clients active in the financial, insurance, commercial and industrial sectors. </w:t>
      </w:r>
    </w:p>
    <w:p w14:paraId="49427CC0" w14:textId="77777777" w:rsidR="00967CB8" w:rsidRPr="009802C3" w:rsidRDefault="00967CB8" w:rsidP="008F1D3F">
      <w:pPr>
        <w:rPr>
          <w:sz w:val="16"/>
          <w:szCs w:val="16"/>
          <w:lang w:val="en-US"/>
        </w:rPr>
      </w:pPr>
    </w:p>
    <w:p w14:paraId="16B8A632" w14:textId="77777777" w:rsidR="00967CB8" w:rsidRPr="009802C3" w:rsidRDefault="00967CB8" w:rsidP="008F1D3F">
      <w:pPr>
        <w:rPr>
          <w:sz w:val="16"/>
          <w:szCs w:val="16"/>
          <w:lang w:val="en-US"/>
        </w:rPr>
      </w:pPr>
      <w:r w:rsidRPr="009802C3">
        <w:rPr>
          <w:sz w:val="16"/>
          <w:szCs w:val="16"/>
          <w:lang w:val="en-US"/>
        </w:rPr>
        <w:t xml:space="preserve">With more than 1,800 people, KPMG in Luxembourg is one of the country’s leading audit, </w:t>
      </w:r>
      <w:proofErr w:type="gramStart"/>
      <w:r w:rsidRPr="009802C3">
        <w:rPr>
          <w:sz w:val="16"/>
          <w:szCs w:val="16"/>
          <w:lang w:val="en-US"/>
        </w:rPr>
        <w:t>tax</w:t>
      </w:r>
      <w:proofErr w:type="gramEnd"/>
      <w:r w:rsidRPr="009802C3">
        <w:rPr>
          <w:sz w:val="16"/>
          <w:szCs w:val="16"/>
          <w:lang w:val="en-US"/>
        </w:rPr>
        <w:t xml:space="preserve"> and advisory firms. Our approach to relationships and service delivery is designed to help clients exploit new opportunities, improve </w:t>
      </w:r>
      <w:proofErr w:type="gramStart"/>
      <w:r w:rsidRPr="009802C3">
        <w:rPr>
          <w:sz w:val="16"/>
          <w:szCs w:val="16"/>
          <w:lang w:val="en-US"/>
        </w:rPr>
        <w:t>performance</w:t>
      </w:r>
      <w:proofErr w:type="gramEnd"/>
      <w:r w:rsidRPr="009802C3">
        <w:rPr>
          <w:sz w:val="16"/>
          <w:szCs w:val="16"/>
          <w:lang w:val="en-US"/>
        </w:rPr>
        <w:t xml:space="preserve"> and manage risk. </w:t>
      </w:r>
    </w:p>
    <w:p w14:paraId="44CC9AD7" w14:textId="77777777" w:rsidR="00967CB8" w:rsidRPr="009802C3" w:rsidRDefault="00967CB8" w:rsidP="008F1D3F">
      <w:pPr>
        <w:rPr>
          <w:sz w:val="16"/>
          <w:szCs w:val="16"/>
          <w:lang w:val="en-US"/>
        </w:rPr>
      </w:pPr>
    </w:p>
    <w:p w14:paraId="232B6B82" w14:textId="45C0A9E7" w:rsidR="00967CB8" w:rsidRPr="009802C3" w:rsidRDefault="00967CB8" w:rsidP="008F1D3F">
      <w:pPr>
        <w:rPr>
          <w:sz w:val="16"/>
          <w:szCs w:val="16"/>
          <w:lang w:val="en-US"/>
        </w:rPr>
      </w:pPr>
      <w:r w:rsidRPr="009802C3">
        <w:rPr>
          <w:sz w:val="16"/>
          <w:szCs w:val="16"/>
          <w:lang w:val="en-US"/>
        </w:rPr>
        <w:t xml:space="preserve">We also participate in/or chair various industry groups in Luxembourg, including the “Haut </w:t>
      </w:r>
      <w:proofErr w:type="spellStart"/>
      <w:r w:rsidRPr="009802C3">
        <w:rPr>
          <w:sz w:val="16"/>
          <w:szCs w:val="16"/>
          <w:lang w:val="en-US"/>
        </w:rPr>
        <w:t>Comité</w:t>
      </w:r>
      <w:proofErr w:type="spellEnd"/>
      <w:r w:rsidRPr="009802C3">
        <w:rPr>
          <w:sz w:val="16"/>
          <w:szCs w:val="16"/>
          <w:lang w:val="en-US"/>
        </w:rPr>
        <w:t xml:space="preserve"> de la Place financière”, the Commission de Surveillance du </w:t>
      </w:r>
      <w:proofErr w:type="spellStart"/>
      <w:r w:rsidRPr="009802C3">
        <w:rPr>
          <w:sz w:val="16"/>
          <w:szCs w:val="16"/>
          <w:lang w:val="en-US"/>
        </w:rPr>
        <w:t>Secteur</w:t>
      </w:r>
      <w:proofErr w:type="spellEnd"/>
      <w:r w:rsidRPr="009802C3">
        <w:rPr>
          <w:sz w:val="16"/>
          <w:szCs w:val="16"/>
          <w:lang w:val="en-US"/>
        </w:rPr>
        <w:t xml:space="preserve"> Financier (CSSF), the Bankers’ Association (ABBL), the Association of the Luxembourg Fund Industry (</w:t>
      </w:r>
      <w:proofErr w:type="spellStart"/>
      <w:r w:rsidRPr="009802C3">
        <w:rPr>
          <w:sz w:val="16"/>
          <w:szCs w:val="16"/>
          <w:lang w:val="en-US"/>
        </w:rPr>
        <w:t>Alfi</w:t>
      </w:r>
      <w:proofErr w:type="spellEnd"/>
      <w:r w:rsidRPr="009802C3">
        <w:rPr>
          <w:sz w:val="16"/>
          <w:szCs w:val="16"/>
          <w:lang w:val="en-US"/>
        </w:rPr>
        <w:t>) or the Luxembourg Institute of Directors (ILA).</w:t>
      </w:r>
      <w:r w:rsidR="008F1D3F" w:rsidRPr="009802C3">
        <w:rPr>
          <w:sz w:val="16"/>
          <w:szCs w:val="16"/>
          <w:lang w:val="en-US"/>
        </w:rPr>
        <w:br/>
      </w:r>
      <w:r w:rsidR="008F1D3F" w:rsidRPr="009802C3">
        <w:rPr>
          <w:sz w:val="16"/>
          <w:szCs w:val="16"/>
          <w:lang w:val="en-US"/>
        </w:rPr>
        <w:br/>
        <w:t xml:space="preserve">Press contact: Geneviève </w:t>
      </w:r>
      <w:proofErr w:type="spellStart"/>
      <w:r w:rsidR="008F1D3F" w:rsidRPr="009802C3">
        <w:rPr>
          <w:sz w:val="16"/>
          <w:szCs w:val="16"/>
          <w:lang w:val="en-US"/>
        </w:rPr>
        <w:t>Feyt</w:t>
      </w:r>
      <w:proofErr w:type="spellEnd"/>
      <w:r w:rsidR="008F1D3F" w:rsidRPr="009802C3">
        <w:rPr>
          <w:sz w:val="16"/>
          <w:szCs w:val="16"/>
          <w:lang w:val="en-US"/>
        </w:rPr>
        <w:t>, +352 22 51 51 2903, genevieve.feyt@kpmg.lu</w:t>
      </w:r>
    </w:p>
    <w:p w14:paraId="59ABAB0C" w14:textId="4ECABAF8" w:rsidR="008E133C" w:rsidRPr="00813501" w:rsidRDefault="008E133C" w:rsidP="008F1D3F">
      <w:pPr>
        <w:pStyle w:val="Heading2"/>
        <w:rPr>
          <w:sz w:val="20"/>
          <w:szCs w:val="20"/>
          <w:u w:val="single"/>
          <w:lang w:val="en-US"/>
        </w:rPr>
      </w:pPr>
      <w:r w:rsidRPr="00813501">
        <w:rPr>
          <w:sz w:val="20"/>
          <w:szCs w:val="20"/>
          <w:u w:val="single"/>
          <w:lang w:val="en-US"/>
        </w:rPr>
        <w:t>About the ABBL</w:t>
      </w:r>
      <w:r w:rsidR="00813501" w:rsidRPr="00813501">
        <w:rPr>
          <w:sz w:val="20"/>
          <w:szCs w:val="20"/>
          <w:u w:val="single"/>
          <w:lang w:val="en-US"/>
        </w:rPr>
        <w:t>:</w:t>
      </w:r>
      <w:r w:rsidRPr="00813501">
        <w:rPr>
          <w:sz w:val="20"/>
          <w:szCs w:val="20"/>
          <w:u w:val="single"/>
          <w:lang w:val="en-US"/>
        </w:rPr>
        <w:t xml:space="preserve"> </w:t>
      </w:r>
    </w:p>
    <w:p w14:paraId="29CDC5E0" w14:textId="77777777" w:rsidR="008E133C" w:rsidRPr="009802C3" w:rsidRDefault="008E133C" w:rsidP="008F1D3F">
      <w:pPr>
        <w:rPr>
          <w:sz w:val="16"/>
          <w:szCs w:val="16"/>
          <w:lang w:val="en-US"/>
        </w:rPr>
      </w:pPr>
      <w:r w:rsidRPr="009802C3">
        <w:rPr>
          <w:sz w:val="16"/>
          <w:szCs w:val="16"/>
          <w:lang w:val="en-US"/>
        </w:rPr>
        <w:t xml:space="preserve">The ABBL's mission is to promote the sustainable development of regulated, innovative, and responsible banking services. The ABBL is the largest and oldest professional association in the financial sector. It represents the banking sector in the broadest sense, </w:t>
      </w:r>
      <w:proofErr w:type="gramStart"/>
      <w:r w:rsidRPr="009802C3">
        <w:rPr>
          <w:sz w:val="16"/>
          <w:szCs w:val="16"/>
          <w:lang w:val="en-US"/>
        </w:rPr>
        <w:t>i.e.</w:t>
      </w:r>
      <w:proofErr w:type="gramEnd"/>
      <w:r w:rsidRPr="009802C3">
        <w:rPr>
          <w:sz w:val="16"/>
          <w:szCs w:val="16"/>
          <w:lang w:val="en-US"/>
        </w:rPr>
        <w:t xml:space="preserve"> the majority of banks established in Luxembourg, as well as regulated financial intermediaries and others in the sector including law firms, consultancies, auditors, market infrastructures, e-money and payment institutions.  </w:t>
      </w:r>
    </w:p>
    <w:p w14:paraId="562CE609" w14:textId="77777777" w:rsidR="008E133C" w:rsidRPr="009802C3" w:rsidRDefault="008E133C" w:rsidP="008F1D3F">
      <w:pPr>
        <w:rPr>
          <w:sz w:val="16"/>
          <w:szCs w:val="16"/>
          <w:lang w:val="en-US"/>
        </w:rPr>
      </w:pPr>
    </w:p>
    <w:p w14:paraId="1381C1F0" w14:textId="77777777" w:rsidR="008E133C" w:rsidRPr="009802C3" w:rsidRDefault="008E133C" w:rsidP="008F1D3F">
      <w:pPr>
        <w:rPr>
          <w:sz w:val="16"/>
          <w:szCs w:val="16"/>
          <w:lang w:val="en-US"/>
        </w:rPr>
      </w:pPr>
      <w:r w:rsidRPr="009802C3">
        <w:rPr>
          <w:sz w:val="16"/>
          <w:szCs w:val="16"/>
          <w:lang w:val="en-US"/>
        </w:rPr>
        <w:t xml:space="preserve">The ABBL provides its members with the information, resources, and services they need to operate in a dynamic financial market and an increasingly complex regulatory environment. It is an open platform for discussing key industry issues and developing common positions across the sector. </w:t>
      </w:r>
    </w:p>
    <w:p w14:paraId="73F9BF6B" w14:textId="77777777" w:rsidR="008E133C" w:rsidRPr="009802C3" w:rsidRDefault="008E133C" w:rsidP="008F1D3F">
      <w:pPr>
        <w:rPr>
          <w:sz w:val="16"/>
          <w:szCs w:val="16"/>
          <w:lang w:val="en-US"/>
        </w:rPr>
      </w:pPr>
    </w:p>
    <w:p w14:paraId="4F3164A8" w14:textId="77777777" w:rsidR="008E133C" w:rsidRPr="009802C3" w:rsidRDefault="008E133C" w:rsidP="008F1D3F">
      <w:pPr>
        <w:rPr>
          <w:sz w:val="16"/>
          <w:szCs w:val="16"/>
          <w:lang w:val="en-US"/>
        </w:rPr>
      </w:pPr>
      <w:bookmarkStart w:id="1" w:name="_Hlk151366451"/>
      <w:r w:rsidRPr="009802C3">
        <w:rPr>
          <w:sz w:val="16"/>
          <w:szCs w:val="16"/>
          <w:lang w:val="en-US"/>
        </w:rPr>
        <w:t xml:space="preserve">Press contact: Paul </w:t>
      </w:r>
      <w:proofErr w:type="spellStart"/>
      <w:r w:rsidRPr="009802C3">
        <w:rPr>
          <w:sz w:val="16"/>
          <w:szCs w:val="16"/>
          <w:lang w:val="en-US"/>
        </w:rPr>
        <w:t>Wilwertz</w:t>
      </w:r>
      <w:proofErr w:type="spellEnd"/>
      <w:r w:rsidRPr="009802C3">
        <w:rPr>
          <w:sz w:val="16"/>
          <w:szCs w:val="16"/>
          <w:lang w:val="en-US"/>
        </w:rPr>
        <w:t>, +352 46 36 60-322, paul.wilwertz@abbl.lu</w:t>
      </w:r>
      <w:bookmarkEnd w:id="1"/>
    </w:p>
    <w:p w14:paraId="1F17AB01" w14:textId="77777777" w:rsidR="008E133C" w:rsidRPr="009802C3" w:rsidRDefault="008E133C">
      <w:pPr>
        <w:rPr>
          <w:rFonts w:eastAsia="Calibri"/>
          <w:color w:val="212121"/>
          <w:lang w:val="en-US"/>
        </w:rPr>
      </w:pPr>
    </w:p>
    <w:p w14:paraId="6F840154" w14:textId="3BE0E0EE" w:rsidR="00F30C1C" w:rsidRPr="009802C3" w:rsidRDefault="00F30C1C">
      <w:pPr>
        <w:rPr>
          <w:rFonts w:eastAsia="Calibri"/>
          <w:color w:val="212121"/>
          <w:lang w:val="en-US"/>
        </w:rPr>
      </w:pPr>
    </w:p>
    <w:sectPr w:rsidR="00F30C1C" w:rsidRPr="009802C3">
      <w:headerReference w:type="default" r:id="rId10"/>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A0E00" w14:textId="77777777" w:rsidR="003D54F4" w:rsidRDefault="003D54F4" w:rsidP="003745D0">
      <w:pPr>
        <w:spacing w:line="240" w:lineRule="auto"/>
      </w:pPr>
      <w:r>
        <w:separator/>
      </w:r>
    </w:p>
  </w:endnote>
  <w:endnote w:type="continuationSeparator" w:id="0">
    <w:p w14:paraId="6B91BE9A" w14:textId="77777777" w:rsidR="003D54F4" w:rsidRDefault="003D54F4" w:rsidP="003745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3E15B" w14:textId="77777777" w:rsidR="003D54F4" w:rsidRDefault="003D54F4" w:rsidP="003745D0">
      <w:pPr>
        <w:spacing w:line="240" w:lineRule="auto"/>
      </w:pPr>
      <w:r>
        <w:separator/>
      </w:r>
    </w:p>
  </w:footnote>
  <w:footnote w:type="continuationSeparator" w:id="0">
    <w:p w14:paraId="7DE9EA9F" w14:textId="77777777" w:rsidR="003D54F4" w:rsidRDefault="003D54F4" w:rsidP="003745D0">
      <w:pPr>
        <w:spacing w:line="240" w:lineRule="auto"/>
      </w:pPr>
      <w:r>
        <w:continuationSeparator/>
      </w:r>
    </w:p>
  </w:footnote>
  <w:footnote w:id="1">
    <w:p w14:paraId="513E1369" w14:textId="2A4455BA" w:rsidR="00F45865" w:rsidRPr="00967CB8" w:rsidRDefault="00F45865">
      <w:pPr>
        <w:pStyle w:val="FootnoteText"/>
        <w:rPr>
          <w:sz w:val="16"/>
          <w:szCs w:val="16"/>
          <w:lang w:val="fr-FR"/>
        </w:rPr>
      </w:pPr>
      <w:r w:rsidRPr="00967CB8">
        <w:rPr>
          <w:rStyle w:val="FootnoteReference"/>
          <w:sz w:val="16"/>
          <w:szCs w:val="16"/>
        </w:rPr>
        <w:footnoteRef/>
      </w:r>
      <w:r w:rsidRPr="00967CB8">
        <w:rPr>
          <w:sz w:val="16"/>
          <w:szCs w:val="16"/>
        </w:rPr>
        <w:t xml:space="preserve"> </w:t>
      </w:r>
      <w:r w:rsidR="00077A6E" w:rsidRPr="00967CB8">
        <w:rPr>
          <w:sz w:val="16"/>
          <w:szCs w:val="16"/>
          <w:lang w:val="en-US"/>
        </w:rPr>
        <w:t xml:space="preserve">The figures are based on data provided by the Commission de Surveillance du </w:t>
      </w:r>
      <w:proofErr w:type="spellStart"/>
      <w:r w:rsidR="00077A6E" w:rsidRPr="00967CB8">
        <w:rPr>
          <w:sz w:val="16"/>
          <w:szCs w:val="16"/>
          <w:lang w:val="en-US"/>
        </w:rPr>
        <w:t>Secteur</w:t>
      </w:r>
      <w:proofErr w:type="spellEnd"/>
      <w:r w:rsidR="00077A6E" w:rsidRPr="00967CB8">
        <w:rPr>
          <w:sz w:val="16"/>
          <w:szCs w:val="16"/>
          <w:lang w:val="en-US"/>
        </w:rPr>
        <w:t xml:space="preserve"> Financier Luxembourg (CSSF), supplemented by input from ABBL member banks. </w:t>
      </w:r>
      <w:r w:rsidR="00077A6E" w:rsidRPr="00967CB8">
        <w:rPr>
          <w:sz w:val="16"/>
          <w:szCs w:val="16"/>
          <w:lang w:val="fr-FR"/>
        </w:rPr>
        <w:t xml:space="preserve">Data for 2023 </w:t>
      </w:r>
      <w:proofErr w:type="spellStart"/>
      <w:r w:rsidR="00077A6E" w:rsidRPr="00967CB8">
        <w:rPr>
          <w:sz w:val="16"/>
          <w:szCs w:val="16"/>
          <w:lang w:val="fr-FR"/>
        </w:rPr>
        <w:t>will</w:t>
      </w:r>
      <w:proofErr w:type="spellEnd"/>
      <w:r w:rsidR="00077A6E" w:rsidRPr="00967CB8">
        <w:rPr>
          <w:sz w:val="16"/>
          <w:szCs w:val="16"/>
          <w:lang w:val="fr-FR"/>
        </w:rPr>
        <w:t xml:space="preserve"> </w:t>
      </w:r>
      <w:proofErr w:type="spellStart"/>
      <w:r w:rsidR="00077A6E" w:rsidRPr="00967CB8">
        <w:rPr>
          <w:sz w:val="16"/>
          <w:szCs w:val="16"/>
          <w:lang w:val="fr-FR"/>
        </w:rPr>
        <w:t>be</w:t>
      </w:r>
      <w:proofErr w:type="spellEnd"/>
      <w:r w:rsidR="00077A6E" w:rsidRPr="00967CB8">
        <w:rPr>
          <w:sz w:val="16"/>
          <w:szCs w:val="16"/>
          <w:lang w:val="fr-FR"/>
        </w:rPr>
        <w:t xml:space="preserve"> </w:t>
      </w:r>
      <w:proofErr w:type="spellStart"/>
      <w:r w:rsidR="00077A6E" w:rsidRPr="00967CB8">
        <w:rPr>
          <w:sz w:val="16"/>
          <w:szCs w:val="16"/>
          <w:lang w:val="fr-FR"/>
        </w:rPr>
        <w:t>available</w:t>
      </w:r>
      <w:proofErr w:type="spellEnd"/>
      <w:r w:rsidR="00077A6E" w:rsidRPr="00967CB8">
        <w:rPr>
          <w:sz w:val="16"/>
          <w:szCs w:val="16"/>
          <w:lang w:val="fr-FR"/>
        </w:rPr>
        <w:t xml:space="preserve"> for </w:t>
      </w:r>
      <w:proofErr w:type="spellStart"/>
      <w:r w:rsidR="00077A6E" w:rsidRPr="00967CB8">
        <w:rPr>
          <w:sz w:val="16"/>
          <w:szCs w:val="16"/>
          <w:lang w:val="fr-FR"/>
        </w:rPr>
        <w:t>analysis</w:t>
      </w:r>
      <w:proofErr w:type="spellEnd"/>
      <w:r w:rsidR="00077A6E" w:rsidRPr="00967CB8">
        <w:rPr>
          <w:sz w:val="16"/>
          <w:szCs w:val="16"/>
          <w:lang w:val="fr-FR"/>
        </w:rPr>
        <w:t xml:space="preserve"> </w:t>
      </w:r>
      <w:proofErr w:type="spellStart"/>
      <w:r w:rsidR="00077A6E" w:rsidRPr="00967CB8">
        <w:rPr>
          <w:sz w:val="16"/>
          <w:szCs w:val="16"/>
          <w:lang w:val="fr-FR"/>
        </w:rPr>
        <w:t>from</w:t>
      </w:r>
      <w:proofErr w:type="spellEnd"/>
      <w:r w:rsidR="00077A6E" w:rsidRPr="00967CB8">
        <w:rPr>
          <w:sz w:val="16"/>
          <w:szCs w:val="16"/>
          <w:lang w:val="fr-FR"/>
        </w:rPr>
        <w:t xml:space="preserve"> </w:t>
      </w:r>
      <w:proofErr w:type="spellStart"/>
      <w:r w:rsidR="00077A6E" w:rsidRPr="00967CB8">
        <w:rPr>
          <w:sz w:val="16"/>
          <w:szCs w:val="16"/>
          <w:lang w:val="fr-FR"/>
        </w:rPr>
        <w:t>spring</w:t>
      </w:r>
      <w:proofErr w:type="spellEnd"/>
      <w:r w:rsidR="00077A6E" w:rsidRPr="00967CB8">
        <w:rPr>
          <w:sz w:val="16"/>
          <w:szCs w:val="16"/>
          <w:lang w:val="fr-FR"/>
        </w:rPr>
        <w:t xml:space="preserve"> 2024.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AF031" w14:textId="77777777" w:rsidR="003745D0" w:rsidRDefault="003745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12472"/>
    <w:multiLevelType w:val="hybridMultilevel"/>
    <w:tmpl w:val="AEF44B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500006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B90"/>
    <w:rsid w:val="000415A9"/>
    <w:rsid w:val="00051C49"/>
    <w:rsid w:val="00077A6E"/>
    <w:rsid w:val="0008710E"/>
    <w:rsid w:val="000A6AD9"/>
    <w:rsid w:val="000C106B"/>
    <w:rsid w:val="000C2F29"/>
    <w:rsid w:val="000E030D"/>
    <w:rsid w:val="000E4676"/>
    <w:rsid w:val="000F548B"/>
    <w:rsid w:val="00152B8A"/>
    <w:rsid w:val="001F2833"/>
    <w:rsid w:val="002457AD"/>
    <w:rsid w:val="002D79CD"/>
    <w:rsid w:val="003745D0"/>
    <w:rsid w:val="00386ED1"/>
    <w:rsid w:val="003C0B8F"/>
    <w:rsid w:val="003D54F4"/>
    <w:rsid w:val="003F37C9"/>
    <w:rsid w:val="00400713"/>
    <w:rsid w:val="00424B90"/>
    <w:rsid w:val="004800CA"/>
    <w:rsid w:val="004D75ED"/>
    <w:rsid w:val="00514FC1"/>
    <w:rsid w:val="005448D4"/>
    <w:rsid w:val="005B4A1F"/>
    <w:rsid w:val="005C4F88"/>
    <w:rsid w:val="00615BA1"/>
    <w:rsid w:val="006747D2"/>
    <w:rsid w:val="00685431"/>
    <w:rsid w:val="006D261F"/>
    <w:rsid w:val="0074567A"/>
    <w:rsid w:val="00776C9E"/>
    <w:rsid w:val="00813501"/>
    <w:rsid w:val="00870603"/>
    <w:rsid w:val="00880845"/>
    <w:rsid w:val="00893D17"/>
    <w:rsid w:val="008A53D9"/>
    <w:rsid w:val="008E133C"/>
    <w:rsid w:val="008F1D3F"/>
    <w:rsid w:val="00967CB8"/>
    <w:rsid w:val="009802C3"/>
    <w:rsid w:val="009935B2"/>
    <w:rsid w:val="009E2924"/>
    <w:rsid w:val="00A24A62"/>
    <w:rsid w:val="00A26186"/>
    <w:rsid w:val="00A45F6D"/>
    <w:rsid w:val="00A53F60"/>
    <w:rsid w:val="00AB67E6"/>
    <w:rsid w:val="00AE727A"/>
    <w:rsid w:val="00B24C94"/>
    <w:rsid w:val="00B26577"/>
    <w:rsid w:val="00B551F5"/>
    <w:rsid w:val="00BC1EB9"/>
    <w:rsid w:val="00BC4285"/>
    <w:rsid w:val="00BF3ECB"/>
    <w:rsid w:val="00C5252E"/>
    <w:rsid w:val="00C62D4D"/>
    <w:rsid w:val="00D51044"/>
    <w:rsid w:val="00DA2AD4"/>
    <w:rsid w:val="00DA2E5A"/>
    <w:rsid w:val="00DA546E"/>
    <w:rsid w:val="00DB1B0D"/>
    <w:rsid w:val="00DD4412"/>
    <w:rsid w:val="00E73B03"/>
    <w:rsid w:val="00F30763"/>
    <w:rsid w:val="00F30C1C"/>
    <w:rsid w:val="00F45865"/>
    <w:rsid w:val="00F96122"/>
    <w:rsid w:val="00FA4EE8"/>
    <w:rsid w:val="00FB2CAF"/>
    <w:rsid w:val="00FE5502"/>
    <w:rsid w:val="00FF0266"/>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3B1A63"/>
  <w15:docId w15:val="{18EEC5F0-2820-4B38-965A-916766B1B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link w:val="Heading3Char"/>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paragraph" w:styleId="Revision">
    <w:name w:val="Revision"/>
    <w:hidden/>
    <w:uiPriority w:val="99"/>
    <w:semiHidden/>
    <w:rsid w:val="00BC4285"/>
    <w:pPr>
      <w:spacing w:line="240" w:lineRule="auto"/>
    </w:pPr>
  </w:style>
  <w:style w:type="paragraph" w:styleId="Header">
    <w:name w:val="header"/>
    <w:basedOn w:val="Normal"/>
    <w:link w:val="HeaderChar"/>
    <w:uiPriority w:val="99"/>
    <w:unhideWhenUsed/>
    <w:rsid w:val="003745D0"/>
    <w:pPr>
      <w:tabs>
        <w:tab w:val="center" w:pos="4680"/>
        <w:tab w:val="right" w:pos="9360"/>
      </w:tabs>
      <w:spacing w:line="240" w:lineRule="auto"/>
    </w:pPr>
  </w:style>
  <w:style w:type="character" w:customStyle="1" w:styleId="HeaderChar">
    <w:name w:val="Header Char"/>
    <w:basedOn w:val="DefaultParagraphFont"/>
    <w:link w:val="Header"/>
    <w:uiPriority w:val="99"/>
    <w:rsid w:val="003745D0"/>
  </w:style>
  <w:style w:type="paragraph" w:styleId="Footer">
    <w:name w:val="footer"/>
    <w:basedOn w:val="Normal"/>
    <w:link w:val="FooterChar"/>
    <w:uiPriority w:val="99"/>
    <w:unhideWhenUsed/>
    <w:rsid w:val="003745D0"/>
    <w:pPr>
      <w:tabs>
        <w:tab w:val="center" w:pos="4680"/>
        <w:tab w:val="right" w:pos="9360"/>
      </w:tabs>
      <w:spacing w:line="240" w:lineRule="auto"/>
    </w:pPr>
  </w:style>
  <w:style w:type="character" w:customStyle="1" w:styleId="FooterChar">
    <w:name w:val="Footer Char"/>
    <w:basedOn w:val="DefaultParagraphFont"/>
    <w:link w:val="Footer"/>
    <w:uiPriority w:val="99"/>
    <w:rsid w:val="003745D0"/>
  </w:style>
  <w:style w:type="character" w:styleId="CommentReference">
    <w:name w:val="annotation reference"/>
    <w:basedOn w:val="DefaultParagraphFont"/>
    <w:uiPriority w:val="99"/>
    <w:semiHidden/>
    <w:unhideWhenUsed/>
    <w:rsid w:val="003745D0"/>
    <w:rPr>
      <w:sz w:val="16"/>
      <w:szCs w:val="16"/>
    </w:rPr>
  </w:style>
  <w:style w:type="paragraph" w:styleId="CommentText">
    <w:name w:val="annotation text"/>
    <w:basedOn w:val="Normal"/>
    <w:link w:val="CommentTextChar"/>
    <w:uiPriority w:val="99"/>
    <w:semiHidden/>
    <w:unhideWhenUsed/>
    <w:rsid w:val="003745D0"/>
    <w:pPr>
      <w:spacing w:line="240" w:lineRule="auto"/>
    </w:pPr>
    <w:rPr>
      <w:sz w:val="20"/>
      <w:szCs w:val="20"/>
    </w:rPr>
  </w:style>
  <w:style w:type="character" w:customStyle="1" w:styleId="CommentTextChar">
    <w:name w:val="Comment Text Char"/>
    <w:basedOn w:val="DefaultParagraphFont"/>
    <w:link w:val="CommentText"/>
    <w:uiPriority w:val="99"/>
    <w:semiHidden/>
    <w:rsid w:val="003745D0"/>
    <w:rPr>
      <w:sz w:val="20"/>
      <w:szCs w:val="20"/>
    </w:rPr>
  </w:style>
  <w:style w:type="paragraph" w:styleId="CommentSubject">
    <w:name w:val="annotation subject"/>
    <w:basedOn w:val="CommentText"/>
    <w:next w:val="CommentText"/>
    <w:link w:val="CommentSubjectChar"/>
    <w:uiPriority w:val="99"/>
    <w:semiHidden/>
    <w:unhideWhenUsed/>
    <w:rsid w:val="003745D0"/>
    <w:rPr>
      <w:b/>
      <w:bCs/>
    </w:rPr>
  </w:style>
  <w:style w:type="character" w:customStyle="1" w:styleId="CommentSubjectChar">
    <w:name w:val="Comment Subject Char"/>
    <w:basedOn w:val="CommentTextChar"/>
    <w:link w:val="CommentSubject"/>
    <w:uiPriority w:val="99"/>
    <w:semiHidden/>
    <w:rsid w:val="003745D0"/>
    <w:rPr>
      <w:b/>
      <w:bCs/>
      <w:sz w:val="20"/>
      <w:szCs w:val="20"/>
    </w:rPr>
  </w:style>
  <w:style w:type="character" w:customStyle="1" w:styleId="Heading3Char">
    <w:name w:val="Heading 3 Char"/>
    <w:basedOn w:val="DefaultParagraphFont"/>
    <w:link w:val="Heading3"/>
    <w:uiPriority w:val="9"/>
    <w:rsid w:val="00F30C1C"/>
    <w:rPr>
      <w:color w:val="434343"/>
      <w:sz w:val="28"/>
      <w:szCs w:val="28"/>
    </w:rPr>
  </w:style>
  <w:style w:type="paragraph" w:styleId="NormalWeb">
    <w:name w:val="Normal (Web)"/>
    <w:basedOn w:val="Normal"/>
    <w:uiPriority w:val="99"/>
    <w:semiHidden/>
    <w:unhideWhenUsed/>
    <w:rsid w:val="00F30C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30C1C"/>
    <w:rPr>
      <w:b/>
      <w:bCs/>
    </w:rPr>
  </w:style>
  <w:style w:type="character" w:styleId="Hyperlink">
    <w:name w:val="Hyperlink"/>
    <w:basedOn w:val="DefaultParagraphFont"/>
    <w:uiPriority w:val="99"/>
    <w:unhideWhenUsed/>
    <w:rsid w:val="00F30C1C"/>
    <w:rPr>
      <w:color w:val="0000FF"/>
      <w:u w:val="single"/>
    </w:rPr>
  </w:style>
  <w:style w:type="paragraph" w:styleId="ListParagraph">
    <w:name w:val="List Paragraph"/>
    <w:basedOn w:val="Normal"/>
    <w:uiPriority w:val="34"/>
    <w:qFormat/>
    <w:rsid w:val="002D79CD"/>
    <w:pPr>
      <w:ind w:left="720"/>
      <w:contextualSpacing/>
    </w:pPr>
  </w:style>
  <w:style w:type="paragraph" w:styleId="FootnoteText">
    <w:name w:val="footnote text"/>
    <w:basedOn w:val="Normal"/>
    <w:link w:val="FootnoteTextChar"/>
    <w:uiPriority w:val="99"/>
    <w:semiHidden/>
    <w:unhideWhenUsed/>
    <w:rsid w:val="00F45865"/>
    <w:pPr>
      <w:spacing w:line="240" w:lineRule="auto"/>
    </w:pPr>
    <w:rPr>
      <w:sz w:val="20"/>
      <w:szCs w:val="20"/>
    </w:rPr>
  </w:style>
  <w:style w:type="character" w:customStyle="1" w:styleId="FootnoteTextChar">
    <w:name w:val="Footnote Text Char"/>
    <w:basedOn w:val="DefaultParagraphFont"/>
    <w:link w:val="FootnoteText"/>
    <w:uiPriority w:val="99"/>
    <w:semiHidden/>
    <w:rsid w:val="00F45865"/>
    <w:rPr>
      <w:sz w:val="20"/>
      <w:szCs w:val="20"/>
    </w:rPr>
  </w:style>
  <w:style w:type="character" w:styleId="FootnoteReference">
    <w:name w:val="footnote reference"/>
    <w:basedOn w:val="DefaultParagraphFont"/>
    <w:uiPriority w:val="99"/>
    <w:semiHidden/>
    <w:unhideWhenUsed/>
    <w:rsid w:val="00F45865"/>
    <w:rPr>
      <w:vertAlign w:val="superscript"/>
    </w:rPr>
  </w:style>
  <w:style w:type="character" w:styleId="UnresolvedMention">
    <w:name w:val="Unresolved Mention"/>
    <w:basedOn w:val="DefaultParagraphFont"/>
    <w:uiPriority w:val="99"/>
    <w:semiHidden/>
    <w:unhideWhenUsed/>
    <w:rsid w:val="00FE55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951388">
      <w:bodyDiv w:val="1"/>
      <w:marLeft w:val="0"/>
      <w:marRight w:val="0"/>
      <w:marTop w:val="0"/>
      <w:marBottom w:val="0"/>
      <w:divBdr>
        <w:top w:val="none" w:sz="0" w:space="0" w:color="auto"/>
        <w:left w:val="none" w:sz="0" w:space="0" w:color="auto"/>
        <w:bottom w:val="none" w:sz="0" w:space="0" w:color="auto"/>
        <w:right w:val="none" w:sz="0" w:space="0" w:color="auto"/>
      </w:divBdr>
      <w:divsChild>
        <w:div w:id="1904220143">
          <w:marLeft w:val="0"/>
          <w:marRight w:val="0"/>
          <w:marTop w:val="105"/>
          <w:marBottom w:val="105"/>
          <w:divBdr>
            <w:top w:val="none" w:sz="0" w:space="0" w:color="auto"/>
            <w:left w:val="none" w:sz="0" w:space="0" w:color="auto"/>
            <w:bottom w:val="none" w:sz="0" w:space="0" w:color="auto"/>
            <w:right w:val="none" w:sz="0" w:space="0" w:color="auto"/>
          </w:divBdr>
        </w:div>
      </w:divsChild>
    </w:div>
    <w:div w:id="1792354632">
      <w:bodyDiv w:val="1"/>
      <w:marLeft w:val="0"/>
      <w:marRight w:val="0"/>
      <w:marTop w:val="0"/>
      <w:marBottom w:val="0"/>
      <w:divBdr>
        <w:top w:val="none" w:sz="0" w:space="0" w:color="auto"/>
        <w:left w:val="none" w:sz="0" w:space="0" w:color="auto"/>
        <w:bottom w:val="none" w:sz="0" w:space="0" w:color="auto"/>
        <w:right w:val="none" w:sz="0" w:space="0" w:color="auto"/>
      </w:divBdr>
      <w:divsChild>
        <w:div w:id="2142650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4291224">
              <w:marLeft w:val="0"/>
              <w:marRight w:val="0"/>
              <w:marTop w:val="0"/>
              <w:marBottom w:val="0"/>
              <w:divBdr>
                <w:top w:val="none" w:sz="0" w:space="0" w:color="auto"/>
                <w:left w:val="none" w:sz="0" w:space="0" w:color="auto"/>
                <w:bottom w:val="none" w:sz="0" w:space="0" w:color="auto"/>
                <w:right w:val="none" w:sz="0" w:space="0" w:color="auto"/>
              </w:divBdr>
              <w:divsChild>
                <w:div w:id="508259186">
                  <w:marLeft w:val="0"/>
                  <w:marRight w:val="0"/>
                  <w:marTop w:val="0"/>
                  <w:marBottom w:val="0"/>
                  <w:divBdr>
                    <w:top w:val="none" w:sz="0" w:space="0" w:color="auto"/>
                    <w:left w:val="none" w:sz="0" w:space="0" w:color="auto"/>
                    <w:bottom w:val="none" w:sz="0" w:space="0" w:color="auto"/>
                    <w:right w:val="none" w:sz="0" w:space="0" w:color="auto"/>
                  </w:divBdr>
                  <w:divsChild>
                    <w:div w:id="1166479695">
                      <w:marLeft w:val="0"/>
                      <w:marRight w:val="0"/>
                      <w:marTop w:val="0"/>
                      <w:marBottom w:val="0"/>
                      <w:divBdr>
                        <w:top w:val="none" w:sz="0" w:space="0" w:color="auto"/>
                        <w:left w:val="none" w:sz="0" w:space="0" w:color="auto"/>
                        <w:bottom w:val="none" w:sz="0" w:space="0" w:color="auto"/>
                        <w:right w:val="none" w:sz="0" w:space="0" w:color="auto"/>
                      </w:divBdr>
                      <w:divsChild>
                        <w:div w:id="2145662185">
                          <w:marLeft w:val="0"/>
                          <w:marRight w:val="0"/>
                          <w:marTop w:val="0"/>
                          <w:marBottom w:val="0"/>
                          <w:divBdr>
                            <w:top w:val="none" w:sz="0" w:space="0" w:color="auto"/>
                            <w:left w:val="none" w:sz="0" w:space="0" w:color="auto"/>
                            <w:bottom w:val="none" w:sz="0" w:space="0" w:color="auto"/>
                            <w:right w:val="none" w:sz="0" w:space="0" w:color="auto"/>
                          </w:divBdr>
                        </w:div>
                        <w:div w:id="1841117172">
                          <w:marLeft w:val="0"/>
                          <w:marRight w:val="0"/>
                          <w:marTop w:val="0"/>
                          <w:marBottom w:val="0"/>
                          <w:divBdr>
                            <w:top w:val="none" w:sz="0" w:space="0" w:color="auto"/>
                            <w:left w:val="none" w:sz="0" w:space="0" w:color="auto"/>
                            <w:bottom w:val="none" w:sz="0" w:space="0" w:color="auto"/>
                            <w:right w:val="none" w:sz="0" w:space="0" w:color="auto"/>
                          </w:divBdr>
                        </w:div>
                        <w:div w:id="32239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976451">
      <w:bodyDiv w:val="1"/>
      <w:marLeft w:val="0"/>
      <w:marRight w:val="0"/>
      <w:marTop w:val="0"/>
      <w:marBottom w:val="0"/>
      <w:divBdr>
        <w:top w:val="none" w:sz="0" w:space="0" w:color="auto"/>
        <w:left w:val="none" w:sz="0" w:space="0" w:color="auto"/>
        <w:bottom w:val="none" w:sz="0" w:space="0" w:color="auto"/>
        <w:right w:val="none" w:sz="0" w:space="0" w:color="auto"/>
      </w:divBdr>
      <w:divsChild>
        <w:div w:id="1908565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53092">
              <w:marLeft w:val="0"/>
              <w:marRight w:val="0"/>
              <w:marTop w:val="0"/>
              <w:marBottom w:val="0"/>
              <w:divBdr>
                <w:top w:val="none" w:sz="0" w:space="0" w:color="auto"/>
                <w:left w:val="none" w:sz="0" w:space="0" w:color="auto"/>
                <w:bottom w:val="none" w:sz="0" w:space="0" w:color="auto"/>
                <w:right w:val="none" w:sz="0" w:space="0" w:color="auto"/>
              </w:divBdr>
              <w:divsChild>
                <w:div w:id="199205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kpmg.com/lu/en/home/insights/2023/10/private-banking-survey-202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1069</Words>
  <Characters>6097</Characters>
  <Application>Microsoft Office Word</Application>
  <DocSecurity>4</DocSecurity>
  <Lines>50</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JOURDAN Sonia</cp:lastModifiedBy>
  <cp:revision>2</cp:revision>
  <dcterms:created xsi:type="dcterms:W3CDTF">2023-11-23T13:55:00Z</dcterms:created>
  <dcterms:modified xsi:type="dcterms:W3CDTF">2023-11-23T13:55:00Z</dcterms:modified>
</cp:coreProperties>
</file>